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Правительства РФ от 28.10.2014 N 1110</w:t>
              <w:br/>
              <w:t xml:space="preserve">(ред. от 05.02.2022)</w:t>
              <w:br/>
              <w:t xml:space="preserve">"О лицензировании предпринимательской деятельности по управлению многоквартирными домами"</w:t>
              <w:br/>
              <w:t xml:space="preserve">(вместе с "Положением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"Положением об осуществлении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октября 2014 г. N 1110</w:t>
      </w:r>
    </w:p>
    <w:p>
      <w:pPr>
        <w:pStyle w:val="2"/>
        <w:jc w:val="center"/>
      </w:pPr>
      <w:r>
        <w:rPr>
          <w:sz w:val="20"/>
        </w:rPr>
      </w:r>
    </w:p>
    <w:p>
      <w:pPr>
        <w:pStyle w:val="2"/>
        <w:jc w:val="center"/>
      </w:pPr>
      <w:r>
        <w:rPr>
          <w:sz w:val="20"/>
        </w:rPr>
        <w:t xml:space="preserve">О ЛИЦЕНЗИРОВАНИИ</w:t>
      </w:r>
    </w:p>
    <w:p>
      <w:pPr>
        <w:pStyle w:val="2"/>
        <w:jc w:val="center"/>
      </w:pPr>
      <w:r>
        <w:rPr>
          <w:sz w:val="20"/>
        </w:rPr>
        <w:t xml:space="preserve">ПРЕДПРИНИМАТЕЛЬСКОЙ ДЕЯТЕЛЬНОСТИ ПО УПРАВЛЕНИЮ</w:t>
      </w:r>
    </w:p>
    <w:p>
      <w:pPr>
        <w:pStyle w:val="2"/>
        <w:jc w:val="center"/>
      </w:pPr>
      <w:r>
        <w:rPr>
          <w:sz w:val="20"/>
        </w:rPr>
        <w:t xml:space="preserve">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25.12.2015 </w:t>
            </w:r>
            <w:hyperlink w:history="0" r:id="rId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w:t>
            </w:r>
          </w:p>
          <w:p>
            <w:pPr>
              <w:pStyle w:val="0"/>
              <w:jc w:val="center"/>
            </w:pPr>
            <w:r>
              <w:rPr>
                <w:sz w:val="20"/>
                <w:color w:val="392c69"/>
              </w:rPr>
              <w:t xml:space="preserve">от 13.09.2018 </w:t>
            </w:r>
            <w:hyperlink w:history="0" r:id="rId8"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30.01.2021 </w:t>
            </w:r>
            <w:hyperlink w:history="0" r:id="rId9" w:tooltip="Постановление Правительства РФ от 30.01.2021 N 88 &quot;О внесении изменений в Положение о лицензировании предпринимательской деятельности по управлению многоквартирными домами&quot; {КонсультантПлюс}">
              <w:r>
                <w:rPr>
                  <w:sz w:val="20"/>
                  <w:color w:val="0000ff"/>
                </w:rPr>
                <w:t xml:space="preserve">N 88</w:t>
              </w:r>
            </w:hyperlink>
            <w:r>
              <w:rPr>
                <w:sz w:val="20"/>
                <w:color w:val="392c69"/>
              </w:rPr>
              <w:t xml:space="preserve">, от 05.02.2022 </w:t>
            </w:r>
            <w:hyperlink w:history="0" r:id="rId10"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N 117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Жилищным </w:t>
      </w:r>
      <w:r>
        <w:rPr>
          <w:sz w:val="20"/>
        </w:rPr>
        <w:t xml:space="preserve">кодексом</w:t>
      </w:r>
      <w:r>
        <w:rPr>
          <w:sz w:val="20"/>
        </w:rPr>
        <w:t xml:space="preserve">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7" w:tooltip="ПОЛОЖЕНИЕ">
        <w:r>
          <w:rPr>
            <w:sz w:val="20"/>
            <w:color w:val="0000ff"/>
          </w:rPr>
          <w:t xml:space="preserve">Положение</w:t>
        </w:r>
      </w:hyperlink>
      <w:r>
        <w:rPr>
          <w:sz w:val="20"/>
        </w:rPr>
        <w:t xml:space="preserve">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(в ред. </w:t>
      </w:r>
      <w:hyperlink w:history="0" r:id="rId11"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spacing w:before="200" w:line-rule="auto"/>
        <w:ind w:firstLine="540"/>
        <w:jc w:val="both"/>
      </w:pPr>
      <w:hyperlink w:history="0" w:anchor="P346" w:tooltip="ПОЛОЖЕНИЕ">
        <w:r>
          <w:rPr>
            <w:sz w:val="20"/>
            <w:color w:val="0000ff"/>
          </w:rPr>
          <w:t xml:space="preserve">Положение</w:t>
        </w:r>
      </w:hyperlink>
      <w:r>
        <w:rPr>
          <w:sz w:val="20"/>
        </w:rPr>
        <w:t xml:space="preserve">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Положение о ведении реестра дисквалифицированных лиц управляющих организаций);</w:t>
      </w:r>
    </w:p>
    <w:p>
      <w:pPr>
        <w:pStyle w:val="0"/>
        <w:spacing w:before="200" w:line-rule="auto"/>
        <w:ind w:firstLine="540"/>
        <w:jc w:val="both"/>
      </w:pPr>
      <w:hyperlink w:history="0" w:anchor="P386" w:tooltip="ПОЛОЖЕНИЕ">
        <w:r>
          <w:rPr>
            <w:sz w:val="20"/>
            <w:color w:val="0000ff"/>
          </w:rPr>
          <w:t xml:space="preserve">Положение</w:t>
        </w:r>
      </w:hyperlink>
      <w:r>
        <w:rPr>
          <w:sz w:val="20"/>
        </w:rPr>
        <w:t xml:space="preserve"> об осуществлении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 (далее - Положение об осуществлении контроля за соблюдением требований к лицензированию деятельности по управлению многоквартирными домами).</w:t>
      </w:r>
    </w:p>
    <w:p>
      <w:pPr>
        <w:pStyle w:val="0"/>
        <w:spacing w:before="200" w:line-rule="auto"/>
        <w:ind w:firstLine="540"/>
        <w:jc w:val="both"/>
      </w:pPr>
      <w:r>
        <w:rPr>
          <w:sz w:val="20"/>
        </w:rPr>
        <w:t xml:space="preserve">2. Установить, что разъяснения по применению </w:t>
      </w:r>
      <w:hyperlink w:history="0" w:anchor="P47" w:tooltip="ПОЛОЖЕНИЕ">
        <w:r>
          <w:rPr>
            <w:sz w:val="20"/>
            <w:color w:val="0000ff"/>
          </w:rPr>
          <w:t xml:space="preserve">Положения</w:t>
        </w:r>
      </w:hyperlink>
      <w:r>
        <w:rPr>
          <w:sz w:val="20"/>
        </w:rPr>
        <w:t xml:space="preserve"> о лицензировании предпринимательской деятельности по управлению многоквартирными домами, </w:t>
      </w:r>
      <w:hyperlink w:history="0" w:anchor="P346" w:tooltip="ПОЛОЖЕНИЕ">
        <w:r>
          <w:rPr>
            <w:sz w:val="20"/>
            <w:color w:val="0000ff"/>
          </w:rPr>
          <w:t xml:space="preserve">Положения</w:t>
        </w:r>
      </w:hyperlink>
      <w:r>
        <w:rPr>
          <w:sz w:val="20"/>
        </w:rPr>
        <w:t xml:space="preserve"> о ведении реестра дисквалифицированных лиц управляющих организаций и </w:t>
      </w:r>
      <w:hyperlink w:history="0" w:anchor="P386" w:tooltip="ПОЛОЖЕНИЕ">
        <w:r>
          <w:rPr>
            <w:sz w:val="20"/>
            <w:color w:val="0000ff"/>
          </w:rPr>
          <w:t xml:space="preserve">Положения</w:t>
        </w:r>
      </w:hyperlink>
      <w:r>
        <w:rPr>
          <w:sz w:val="20"/>
        </w:rPr>
        <w:t xml:space="preserve"> об осуществлении контроля за соблюдением требований к лицензированию деятельности по управлению многоквартирными домами, утвержденных настоящим постановлением, дает 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3. Реализация полномочий, предусмотренных </w:t>
      </w:r>
      <w:hyperlink w:history="0" w:anchor="P47" w:tooltip="ПОЛОЖЕНИЕ">
        <w:r>
          <w:rPr>
            <w:sz w:val="20"/>
            <w:color w:val="0000ff"/>
          </w:rPr>
          <w:t xml:space="preserve">Положением</w:t>
        </w:r>
      </w:hyperlink>
      <w:r>
        <w:rPr>
          <w:sz w:val="20"/>
        </w:rPr>
        <w:t xml:space="preserve"> о лицензировании предпринимательской деятельности по управлению многоквартирными домами, </w:t>
      </w:r>
      <w:hyperlink w:history="0" w:anchor="P346" w:tooltip="ПОЛОЖЕНИЕ">
        <w:r>
          <w:rPr>
            <w:sz w:val="20"/>
            <w:color w:val="0000ff"/>
          </w:rPr>
          <w:t xml:space="preserve">Положением</w:t>
        </w:r>
      </w:hyperlink>
      <w:r>
        <w:rPr>
          <w:sz w:val="20"/>
        </w:rPr>
        <w:t xml:space="preserve"> о ведении реестра дисквалифицированных лиц управляющих организаций и </w:t>
      </w:r>
      <w:hyperlink w:history="0" w:anchor="P386" w:tooltip="ПОЛОЖЕНИЕ">
        <w:r>
          <w:rPr>
            <w:sz w:val="20"/>
            <w:color w:val="0000ff"/>
          </w:rPr>
          <w:t xml:space="preserve">Положением</w:t>
        </w:r>
      </w:hyperlink>
      <w:r>
        <w:rPr>
          <w:sz w:val="20"/>
        </w:rPr>
        <w:t xml:space="preserve"> об осуществлении контроля за соблюдением требований к лицензированию деятельности по управлению многоквартирными домами, утвержденными настоящим постановлением, осуществляется Министерством строительства и жилищно-коммунального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 предусмотренных Министерству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4. Министерству строительства и жилищно-коммунального хозяйства Российской Федерации утвердить:</w:t>
      </w:r>
    </w:p>
    <w:p>
      <w:pPr>
        <w:pStyle w:val="0"/>
        <w:spacing w:before="200" w:line-rule="auto"/>
        <w:ind w:firstLine="540"/>
        <w:jc w:val="both"/>
      </w:pPr>
      <w:hyperlink w:history="0" r:id="rId12"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порядок определения результатов квалификационного экзамена, </w:t>
      </w:r>
      <w:hyperlink w:history="0" r:id="rId13"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и аннулирования квалификационного аттестата, порядок ведения реестра квалификационных аттестатов, </w:t>
      </w:r>
      <w:hyperlink w:history="0" r:id="rId14"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форму</w:t>
        </w:r>
      </w:hyperlink>
      <w:r>
        <w:rPr>
          <w:sz w:val="20"/>
        </w:rPr>
        <w:t xml:space="preserve"> квалификационного аттестата и </w:t>
      </w:r>
      <w:hyperlink w:history="0" r:id="rId15"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w:t>
      </w:r>
    </w:p>
    <w:p>
      <w:pPr>
        <w:pStyle w:val="0"/>
        <w:spacing w:before="200" w:line-rule="auto"/>
        <w:ind w:firstLine="540"/>
        <w:jc w:val="both"/>
      </w:pPr>
      <w:hyperlink w:history="0" r:id="rId16"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методические указания</w:t>
        </w:r>
      </w:hyperlink>
      <w:r>
        <w:rPr>
          <w:sz w:val="20"/>
        </w:rP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bookmarkStart w:id="24" w:name="P24"/>
    <w:bookmarkEnd w:id="24"/>
    <w:p>
      <w:pPr>
        <w:pStyle w:val="0"/>
        <w:spacing w:before="200" w:line-rule="auto"/>
        <w:ind w:firstLine="540"/>
        <w:jc w:val="both"/>
      </w:pPr>
      <w:hyperlink w:history="0" r:id="rId17"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методические рекомендации</w:t>
        </w:r>
      </w:hyperlink>
      <w:r>
        <w:rPr>
          <w:sz w:val="20"/>
        </w:rPr>
        <w:t xml:space="preserve">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w:t>
      </w:r>
      <w:hyperlink w:history="0" r:id="rId18"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примерные формы</w:t>
        </w:r>
      </w:hyperlink>
      <w:r>
        <w:rPr>
          <w:sz w:val="20"/>
        </w:rPr>
        <w:t xml:space="preserve"> документов, используемых при лицензировании предпринимательской деятельности по управлению многоквартирными домами;</w:t>
      </w:r>
    </w:p>
    <w:bookmarkStart w:id="25" w:name="P25"/>
    <w:bookmarkEnd w:id="25"/>
    <w:p>
      <w:pPr>
        <w:pStyle w:val="0"/>
        <w:spacing w:before="200" w:line-rule="auto"/>
        <w:ind w:firstLine="540"/>
        <w:jc w:val="both"/>
      </w:pPr>
      <w:r>
        <w:rPr>
          <w:sz w:val="20"/>
        </w:rPr>
        <w:t xml:space="preserve">методические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w:t>
      </w:r>
    </w:p>
    <w:p>
      <w:pPr>
        <w:pStyle w:val="0"/>
        <w:spacing w:before="200" w:line-rule="auto"/>
        <w:ind w:firstLine="540"/>
        <w:jc w:val="both"/>
      </w:pPr>
      <w:r>
        <w:rPr>
          <w:sz w:val="20"/>
        </w:rPr>
        <w:t xml:space="preserve">в 2-месячный срок со дня утверждения методических рекомендаций, указанных в </w:t>
      </w:r>
      <w:hyperlink w:history="0" w:anchor="P24" w:tooltip="методические рекомендации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примерные формы документов, используемых при лицензировании предпринимательской деятельности по управлению многоквартирными домами;">
        <w:r>
          <w:rPr>
            <w:sz w:val="20"/>
            <w:color w:val="0000ff"/>
          </w:rPr>
          <w:t xml:space="preserve">абзацах четвертом</w:t>
        </w:r>
      </w:hyperlink>
      <w:r>
        <w:rPr>
          <w:sz w:val="20"/>
        </w:rPr>
        <w:t xml:space="preserve"> и </w:t>
      </w:r>
      <w:hyperlink w:history="0" w:anchor="P25" w:tooltip="методические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
        <w:r>
          <w:rPr>
            <w:sz w:val="20"/>
            <w:color w:val="0000ff"/>
          </w:rPr>
          <w:t xml:space="preserve">пятом пункта 4</w:t>
        </w:r>
      </w:hyperlink>
      <w:r>
        <w:rPr>
          <w:sz w:val="20"/>
        </w:rPr>
        <w:t xml:space="preserve"> настоящего постановления,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w:t>
      </w:r>
    </w:p>
    <w:p>
      <w:pPr>
        <w:pStyle w:val="0"/>
        <w:spacing w:before="200" w:line-rule="auto"/>
        <w:ind w:firstLine="540"/>
        <w:jc w:val="both"/>
      </w:pPr>
      <w:r>
        <w:rPr>
          <w:sz w:val="20"/>
        </w:rPr>
        <w:t xml:space="preserve">не позднее 1 января 2015 г. обеспечить возможность подачи и получения документов по вопросам лицензирования в соответствии с Федеральным </w:t>
      </w:r>
      <w:hyperlink w:history="0" r:id="rId19"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6. Настоящее постановление действует до 1 марта 2028 г.</w:t>
      </w:r>
    </w:p>
    <w:p>
      <w:pPr>
        <w:pStyle w:val="0"/>
        <w:jc w:val="both"/>
      </w:pPr>
      <w:r>
        <w:rPr>
          <w:sz w:val="20"/>
        </w:rPr>
        <w:t xml:space="preserve">(п. 6 введен </w:t>
      </w:r>
      <w:hyperlink w:history="0" r:id="rId20"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28 октября 2014 г. N 1110</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Плановые проверки, осуществляемые в рамках лицензионного контроля, начало проведения которых предусмотрено планами после 28.02.2022, </w:t>
            </w:r>
            <w:hyperlink w:history="0" r:id="rId21"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подлежат</w:t>
              </w:r>
            </w:hyperlink>
            <w:r>
              <w:rPr>
                <w:sz w:val="20"/>
                <w:color w:val="392c69"/>
              </w:rPr>
              <w:t xml:space="preserve"> проведению в соответствии с Положением (в ред. Постановления Правительства РФ от 05.02.2022 N 117).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 w:name="P47"/>
    <w:bookmarkEnd w:id="47"/>
    <w:p>
      <w:pPr>
        <w:pStyle w:val="2"/>
        <w:spacing w:before="260" w:line-rule="auto"/>
        <w:jc w:val="center"/>
      </w:pPr>
      <w:r>
        <w:rPr>
          <w:sz w:val="20"/>
        </w:rPr>
        <w:t xml:space="preserve">ПОЛОЖЕНИЕ</w:t>
      </w:r>
    </w:p>
    <w:p>
      <w:pPr>
        <w:pStyle w:val="2"/>
        <w:jc w:val="center"/>
      </w:pPr>
      <w:r>
        <w:rPr>
          <w:sz w:val="20"/>
        </w:rPr>
        <w:t xml:space="preserve">О ЛИЦЕНЗИРОВАНИИ ПРЕДПРИНИМАТЕЛЬСКОЙ ДЕЯТЕЛЬНОСТИ</w:t>
      </w:r>
    </w:p>
    <w:p>
      <w:pPr>
        <w:pStyle w:val="2"/>
        <w:jc w:val="center"/>
      </w:pPr>
      <w:r>
        <w:rPr>
          <w:sz w:val="20"/>
        </w:rPr>
        <w:t xml:space="preserve">ПО УПРАВЛЕНИЮ МНОГОКВАРТИРНЫМИ ДОМАМИ И ОБ ОСУЩЕСТВЛЕНИИ</w:t>
      </w:r>
    </w:p>
    <w:p>
      <w:pPr>
        <w:pStyle w:val="2"/>
        <w:jc w:val="center"/>
      </w:pPr>
      <w:r>
        <w:rPr>
          <w:sz w:val="20"/>
        </w:rPr>
        <w:t xml:space="preserve">РЕГИОНАЛЬНОГО ГОСУДАРСТВЕННОГО ЛИЦЕНЗИОННОГО КОНТРОЛЯ</w:t>
      </w:r>
    </w:p>
    <w:p>
      <w:pPr>
        <w:pStyle w:val="2"/>
        <w:jc w:val="center"/>
      </w:pPr>
      <w:r>
        <w:rPr>
          <w:sz w:val="20"/>
        </w:rPr>
        <w:t xml:space="preserve">ЗА ОСУЩЕСТВЛЕНИЕМ ПРЕДПРИНИМАТЕЛЬСКОЙ ДЕЯТЕЛЬНОСТИ</w:t>
      </w:r>
    </w:p>
    <w:p>
      <w:pPr>
        <w:pStyle w:val="2"/>
        <w:jc w:val="center"/>
      </w:pPr>
      <w:r>
        <w:rPr>
          <w:sz w:val="20"/>
        </w:rPr>
        <w:t xml:space="preserve">ПО УПРАВЛЕНИЮ 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25.12.2015 </w:t>
            </w:r>
            <w:hyperlink w:history="0" r:id="rId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w:t>
            </w:r>
          </w:p>
          <w:p>
            <w:pPr>
              <w:pStyle w:val="0"/>
              <w:jc w:val="center"/>
            </w:pPr>
            <w:r>
              <w:rPr>
                <w:sz w:val="20"/>
                <w:color w:val="392c69"/>
              </w:rPr>
              <w:t xml:space="preserve">от 13.09.2018 </w:t>
            </w:r>
            <w:hyperlink w:history="0" r:id="rId23"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30.01.2021 </w:t>
            </w:r>
            <w:hyperlink w:history="0" r:id="rId24" w:tooltip="Постановление Правительства РФ от 30.01.2021 N 88 &quot;О внесении изменений в Положение о лицензировании предпринимательской деятельности по управлению многоквартирными домами&quot; {КонсультантПлюс}">
              <w:r>
                <w:rPr>
                  <w:sz w:val="20"/>
                  <w:color w:val="0000ff"/>
                </w:rPr>
                <w:t xml:space="preserve">N 88</w:t>
              </w:r>
            </w:hyperlink>
            <w:r>
              <w:rPr>
                <w:sz w:val="20"/>
                <w:color w:val="392c69"/>
              </w:rPr>
              <w:t xml:space="preserve">, от 05.02.2022 </w:t>
            </w:r>
            <w:hyperlink w:history="0" r:id="rId25"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N 117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устанавливает порядок лицензирования предпринимательской деятельности по управлению многоквартирными домами, осуществляемой управляющей организацией, а также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лицензионный контроль).</w:t>
      </w:r>
    </w:p>
    <w:p>
      <w:pPr>
        <w:pStyle w:val="0"/>
        <w:jc w:val="both"/>
      </w:pPr>
      <w:r>
        <w:rPr>
          <w:sz w:val="20"/>
        </w:rPr>
        <w:t xml:space="preserve">(п. 1 в ред. </w:t>
      </w:r>
      <w:hyperlink w:history="0" r:id="rId26"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jc w:val="center"/>
      </w:pPr>
      <w:r>
        <w:rPr>
          <w:sz w:val="20"/>
        </w:rPr>
      </w:r>
    </w:p>
    <w:p>
      <w:pPr>
        <w:pStyle w:val="2"/>
        <w:outlineLvl w:val="1"/>
        <w:jc w:val="center"/>
      </w:pPr>
      <w:r>
        <w:rPr>
          <w:sz w:val="20"/>
        </w:rPr>
        <w:t xml:space="preserve">I. Лицензирование предпринимательской деятельности</w:t>
      </w:r>
    </w:p>
    <w:p>
      <w:pPr>
        <w:pStyle w:val="2"/>
        <w:jc w:val="center"/>
      </w:pPr>
      <w:r>
        <w:rPr>
          <w:sz w:val="20"/>
        </w:rPr>
        <w:t xml:space="preserve">по управлению многоквартирными домами</w:t>
      </w:r>
    </w:p>
    <w:p>
      <w:pPr>
        <w:pStyle w:val="0"/>
        <w:jc w:val="center"/>
      </w:pPr>
      <w:r>
        <w:rPr>
          <w:sz w:val="20"/>
        </w:rPr>
        <w:t xml:space="preserve">(введено </w:t>
      </w:r>
      <w:hyperlink w:history="0" r:id="rId27"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2.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(далее - лицензирующий орган).</w:t>
      </w:r>
    </w:p>
    <w:p>
      <w:pPr>
        <w:pStyle w:val="0"/>
        <w:spacing w:before="200" w:line-rule="auto"/>
        <w:ind w:firstLine="540"/>
        <w:jc w:val="both"/>
      </w:pPr>
      <w:r>
        <w:rPr>
          <w:sz w:val="20"/>
        </w:rPr>
        <w:t xml:space="preserve">3. Лицензионными требованиями к лицензиату помимо требований, предусмотренных </w:t>
      </w:r>
      <w:hyperlink w:history="0" r:id="rId28" w:tooltip="&quot;Жилищный кодекс Российской Федерации&quot; от 29.12.2004 N 188-ФЗ (ред. от 28.06.2022) {КонсультантПлюс}">
        <w:r>
          <w:rPr>
            <w:sz w:val="20"/>
            <w:color w:val="0000ff"/>
          </w:rPr>
          <w:t xml:space="preserve">пунктами 1</w:t>
        </w:r>
      </w:hyperlink>
      <w:r>
        <w:rPr>
          <w:sz w:val="20"/>
        </w:rPr>
        <w:t xml:space="preserve"> - </w:t>
      </w:r>
      <w:hyperlink w:history="0" r:id="rId29" w:tooltip="&quot;Жилищный кодекс Российской Федерации&quot; от 29.12.2004 N 188-ФЗ (ред. от 28.06.2022) {КонсультантПлюс}">
        <w:r>
          <w:rPr>
            <w:sz w:val="20"/>
            <w:color w:val="0000ff"/>
          </w:rPr>
          <w:t xml:space="preserve">6.1 части 1 статьи 193</w:t>
        </w:r>
      </w:hyperlink>
      <w:r>
        <w:rPr>
          <w:sz w:val="20"/>
        </w:rPr>
        <w:t xml:space="preserve"> Жилищного кодекса Российской Федерации, являются следующие требования:</w:t>
      </w:r>
    </w:p>
    <w:p>
      <w:pPr>
        <w:pStyle w:val="0"/>
        <w:jc w:val="both"/>
      </w:pPr>
      <w:r>
        <w:rPr>
          <w:sz w:val="20"/>
        </w:rPr>
        <w:t xml:space="preserve">(в ред. </w:t>
      </w:r>
      <w:hyperlink w:history="0" r:id="rId30"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bookmarkStart w:id="67" w:name="P67"/>
    <w:bookmarkEnd w:id="67"/>
    <w:p>
      <w:pPr>
        <w:pStyle w:val="0"/>
        <w:spacing w:before="200" w:line-rule="auto"/>
        <w:ind w:firstLine="540"/>
        <w:jc w:val="both"/>
      </w:pPr>
      <w:r>
        <w:rPr>
          <w:sz w:val="20"/>
        </w:rPr>
        <w:t xml:space="preserve">а) соблюдение требований, предусмотренных </w:t>
      </w:r>
      <w:hyperlink w:history="0" r:id="rId31" w:tooltip="&quot;Жилищный кодекс Российской Федерации&quot; от 29.12.2004 N 188-ФЗ (ред. от 28.06.2022) {КонсультантПлюс}">
        <w:r>
          <w:rPr>
            <w:sz w:val="20"/>
            <w:color w:val="0000ff"/>
          </w:rPr>
          <w:t xml:space="preserve">частью 2.3 статьи 161</w:t>
        </w:r>
      </w:hyperlink>
      <w:r>
        <w:rPr>
          <w:sz w:val="20"/>
        </w:rPr>
        <w:t xml:space="preserve"> Жилищного кодекса Российской Федерации;</w:t>
      </w:r>
    </w:p>
    <w:bookmarkStart w:id="68" w:name="P68"/>
    <w:bookmarkEnd w:id="68"/>
    <w:p>
      <w:pPr>
        <w:pStyle w:val="0"/>
        <w:spacing w:before="200" w:line-rule="auto"/>
        <w:ind w:firstLine="540"/>
        <w:jc w:val="both"/>
      </w:pPr>
      <w:r>
        <w:rPr>
          <w:sz w:val="20"/>
        </w:rPr>
        <w:t xml:space="preserve">б) исполнение обязанностей по договору управления многоквартирным домом, предусмотренных </w:t>
      </w:r>
      <w:hyperlink w:history="0" r:id="rId32" w:tooltip="&quot;Жилищный кодекс Российской Федерации&quot; от 29.12.2004 N 188-ФЗ (ред. от 28.06.2022) {КонсультантПлюс}">
        <w:r>
          <w:rPr>
            <w:sz w:val="20"/>
            <w:color w:val="0000ff"/>
          </w:rPr>
          <w:t xml:space="preserve">частью 2 статьи 162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 соблюдение требований, предусмотренных </w:t>
      </w:r>
      <w:hyperlink w:history="0" r:id="rId33" w:tooltip="&quot;Жилищный кодекс Российской Федерации&quot; от 29.12.2004 N 188-ФЗ (ред. от 28.06.2022) {КонсультантПлюс}">
        <w:r>
          <w:rPr>
            <w:sz w:val="20"/>
            <w:color w:val="0000ff"/>
          </w:rPr>
          <w:t xml:space="preserve">частью 3.1 статьи 45</w:t>
        </w:r>
      </w:hyperlink>
      <w:r>
        <w:rPr>
          <w:sz w:val="20"/>
        </w:rPr>
        <w:t xml:space="preserve"> Жилищного кодекса Российской Федерации;</w:t>
      </w:r>
    </w:p>
    <w:p>
      <w:pPr>
        <w:pStyle w:val="0"/>
        <w:jc w:val="both"/>
      </w:pPr>
      <w:r>
        <w:rPr>
          <w:sz w:val="20"/>
        </w:rPr>
        <w:t xml:space="preserve">(пп. "в" в ред. </w:t>
      </w:r>
      <w:hyperlink w:history="0" r:id="rId34"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bookmarkStart w:id="71" w:name="P71"/>
    <w:bookmarkEnd w:id="71"/>
    <w:p>
      <w:pPr>
        <w:pStyle w:val="0"/>
        <w:spacing w:before="200" w:line-rule="auto"/>
        <w:ind w:firstLine="540"/>
        <w:jc w:val="both"/>
      </w:pPr>
      <w:r>
        <w:rPr>
          <w:sz w:val="20"/>
        </w:rPr>
        <w:t xml:space="preserve">г) соблюдение требований, предусмотренных </w:t>
      </w:r>
      <w:hyperlink w:history="0" r:id="rId35" w:tooltip="&quot;Жилищный кодекс Российской Федерации&quot; от 29.12.2004 N 188-ФЗ (ред. от 28.06.2022) {КонсультантПлюс}">
        <w:r>
          <w:rPr>
            <w:sz w:val="20"/>
            <w:color w:val="0000ff"/>
          </w:rPr>
          <w:t xml:space="preserve">частью 7 статьи 162</w:t>
        </w:r>
      </w:hyperlink>
      <w:r>
        <w:rPr>
          <w:sz w:val="20"/>
        </w:rPr>
        <w:t xml:space="preserve"> и </w:t>
      </w:r>
      <w:hyperlink w:history="0" r:id="rId36" w:tooltip="&quot;Жилищный кодекс Российской Федерации&quot; от 29.12.2004 N 188-ФЗ (ред. от 28.06.2022) {КонсультантПлюс}">
        <w:r>
          <w:rPr>
            <w:sz w:val="20"/>
            <w:color w:val="0000ff"/>
          </w:rPr>
          <w:t xml:space="preserve">частью 6 статьи 198</w:t>
        </w:r>
      </w:hyperlink>
      <w:r>
        <w:rPr>
          <w:sz w:val="20"/>
        </w:rPr>
        <w:t xml:space="preserve"> Жилищного кодекса Российской Федерации.</w:t>
      </w:r>
    </w:p>
    <w:p>
      <w:pPr>
        <w:pStyle w:val="0"/>
        <w:jc w:val="both"/>
      </w:pPr>
      <w:r>
        <w:rPr>
          <w:sz w:val="20"/>
        </w:rPr>
        <w:t xml:space="preserve">(пп. "г" введен </w:t>
      </w:r>
      <w:hyperlink w:history="0" r:id="rId37"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Постановлением</w:t>
        </w:r>
      </w:hyperlink>
      <w:r>
        <w:rPr>
          <w:sz w:val="20"/>
        </w:rPr>
        <w:t xml:space="preserve"> Правительства РФ от 13.09.2018 N 1090)</w:t>
      </w:r>
    </w:p>
    <w:bookmarkStart w:id="73" w:name="P73"/>
    <w:bookmarkEnd w:id="73"/>
    <w:p>
      <w:pPr>
        <w:pStyle w:val="0"/>
        <w:spacing w:before="200" w:line-rule="auto"/>
        <w:ind w:firstLine="540"/>
        <w:jc w:val="both"/>
      </w:pPr>
      <w:r>
        <w:rPr>
          <w:sz w:val="20"/>
        </w:rPr>
        <w:t xml:space="preserve">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w:t>
      </w:r>
      <w:hyperlink w:history="0" r:id="rId38" w:tooltip="&quot;Жилищный кодекс Российской Федерации&quot; от 29.12.2004 N 188-ФЗ (ред. от 28.06.2022) {КонсультантПлюс}">
        <w:r>
          <w:rPr>
            <w:sz w:val="20"/>
            <w:color w:val="0000ff"/>
          </w:rPr>
          <w:t xml:space="preserve">кодексом</w:t>
        </w:r>
      </w:hyperlink>
      <w:r>
        <w:rPr>
          <w:sz w:val="20"/>
        </w:rPr>
        <w:t xml:space="preserve"> Российской Федерации, предъявляются лицензионные требования, предусмотренные </w:t>
      </w:r>
      <w:hyperlink w:history="0" r:id="rId39" w:tooltip="&quot;Жилищный кодекс Российской Федерации&quot; от 29.12.2004 N 188-ФЗ (ред. от 28.06.2022) {КонсультантПлюс}">
        <w:r>
          <w:rPr>
            <w:sz w:val="20"/>
            <w:color w:val="0000ff"/>
          </w:rPr>
          <w:t xml:space="preserve">пунктами 1</w:t>
        </w:r>
      </w:hyperlink>
      <w:r>
        <w:rPr>
          <w:sz w:val="20"/>
        </w:rPr>
        <w:t xml:space="preserve"> - </w:t>
      </w:r>
      <w:hyperlink w:history="0" r:id="rId40" w:tooltip="&quot;Жилищный кодекс Российской Федерации&quot; от 29.12.2004 N 188-ФЗ (ред. от 28.06.2022) {КонсультантПлюс}">
        <w:r>
          <w:rPr>
            <w:sz w:val="20"/>
            <w:color w:val="0000ff"/>
          </w:rPr>
          <w:t xml:space="preserve">5 части 1 статьи 193</w:t>
        </w:r>
      </w:hyperlink>
      <w:r>
        <w:rPr>
          <w:sz w:val="20"/>
        </w:rPr>
        <w:t xml:space="preserve"> Жилищного кодекса Российской Федерации.</w:t>
      </w:r>
    </w:p>
    <w:p>
      <w:pPr>
        <w:pStyle w:val="0"/>
        <w:jc w:val="both"/>
      </w:pPr>
      <w:r>
        <w:rPr>
          <w:sz w:val="20"/>
        </w:rPr>
        <w:t xml:space="preserve">(в ред. </w:t>
      </w:r>
      <w:hyperlink w:history="0" r:id="rId41"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spacing w:before="200" w:line-rule="auto"/>
        <w:ind w:firstLine="540"/>
        <w:jc w:val="both"/>
      </w:pPr>
      <w:r>
        <w:rPr>
          <w:sz w:val="20"/>
        </w:rPr>
        <w:t xml:space="preserve">4(1). К грубым нарушениям лицензионных требований относятся:</w:t>
      </w:r>
    </w:p>
    <w:bookmarkStart w:id="76" w:name="P76"/>
    <w:bookmarkEnd w:id="76"/>
    <w:p>
      <w:pPr>
        <w:pStyle w:val="0"/>
        <w:spacing w:before="200" w:line-rule="auto"/>
        <w:ind w:firstLine="540"/>
        <w:jc w:val="both"/>
      </w:pPr>
      <w:r>
        <w:rPr>
          <w:sz w:val="20"/>
        </w:rPr>
        <w:t xml:space="preserve">а) нарушение лицензионного требования, предусмотренного </w:t>
      </w:r>
      <w:hyperlink w:history="0" w:anchor="P67" w:tooltip="а) соблюдение требований, предусмотренных частью 2.3 статьи 161 Жилищного кодекса Российской Федерации;">
        <w:r>
          <w:rPr>
            <w:sz w:val="20"/>
            <w:color w:val="0000ff"/>
          </w:rPr>
          <w:t xml:space="preserve">подпунктом "а" пункта 3</w:t>
        </w:r>
      </w:hyperlink>
      <w:r>
        <w:rPr>
          <w:sz w:val="20"/>
        </w:rPr>
        <w:t xml:space="preserve"> настоящего Положения, повлекшее причинение вреда жизни или тяжкого вреда здоровью граждан, которое подтверждено вступившим в законную силу решением суда;</w:t>
      </w:r>
    </w:p>
    <w:bookmarkStart w:id="77" w:name="P77"/>
    <w:bookmarkEnd w:id="77"/>
    <w:p>
      <w:pPr>
        <w:pStyle w:val="0"/>
        <w:spacing w:before="200" w:line-rule="auto"/>
        <w:ind w:firstLine="540"/>
        <w:jc w:val="both"/>
      </w:pPr>
      <w:r>
        <w:rPr>
          <w:sz w:val="20"/>
        </w:rPr>
        <w:t xml:space="preserve">б) нарушение лицензионного требования, предусмотренного </w:t>
      </w:r>
      <w:hyperlink w:history="0" w:anchor="P67" w:tooltip="а) соблюдение требований, предусмотренных частью 2.3 статьи 161 Жилищного кодекса Российской Федерации;">
        <w:r>
          <w:rPr>
            <w:sz w:val="20"/>
            <w:color w:val="0000ff"/>
          </w:rPr>
          <w:t xml:space="preserve">подпунктом "а" пункта 3</w:t>
        </w:r>
      </w:hyperlink>
      <w:r>
        <w:rPr>
          <w:sz w:val="20"/>
        </w:rPr>
        <w:t xml:space="preserve"> настоящего Положения,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bookmarkStart w:id="78" w:name="P78"/>
    <w:bookmarkEnd w:id="78"/>
    <w:p>
      <w:pPr>
        <w:pStyle w:val="0"/>
        <w:spacing w:before="200" w:line-rule="auto"/>
        <w:ind w:firstLine="540"/>
        <w:jc w:val="both"/>
      </w:pPr>
      <w:r>
        <w:rPr>
          <w:sz w:val="20"/>
        </w:rPr>
        <w:t xml:space="preserve">в) нарушение лицензионного требования, предусмотренного </w:t>
      </w:r>
      <w:hyperlink w:history="0" w:anchor="P67" w:tooltip="а) соблюдение требований, предусмотренных частью 2.3 статьи 161 Жилищного кодекса Российской Федерации;">
        <w:r>
          <w:rPr>
            <w:sz w:val="20"/>
            <w:color w:val="0000ff"/>
          </w:rPr>
          <w:t xml:space="preserve">подпунктом "а" пункта 3</w:t>
        </w:r>
      </w:hyperlink>
      <w:r>
        <w:rPr>
          <w:sz w:val="20"/>
        </w:rPr>
        <w:t xml:space="preserve"> настоящего Положения,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w:history="0" r:id="rId42"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w:t>
      </w:r>
      <w:hyperlink w:history="0" r:id="rId43" w:tooltip="Постановление Правительства РФ от 24.06.2017 N 743 (ред. от 19.04.2022)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онсультантПлюс}">
        <w:r>
          <w:rPr>
            <w:sz w:val="20"/>
            <w:color w:val="0000ff"/>
          </w:rPr>
          <w:t xml:space="preserve">Правилами</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за исключением случая выполнения работ по эксплуатации, в том числе 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w:t>
      </w:r>
      <w:hyperlink w:history="0" r:id="rId44" w:tooltip="Постановление Правительства РФ от 24.06.2017 N 743 (ред. от 19.04.2022)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онсультантПлюс}">
        <w:r>
          <w:rPr>
            <w:sz w:val="20"/>
            <w:color w:val="0000ff"/>
          </w:rPr>
          <w:t xml:space="preserve">Правилами</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bookmarkStart w:id="79" w:name="P79"/>
    <w:bookmarkEnd w:id="79"/>
    <w:p>
      <w:pPr>
        <w:pStyle w:val="0"/>
        <w:spacing w:before="200" w:line-rule="auto"/>
        <w:ind w:firstLine="540"/>
        <w:jc w:val="both"/>
      </w:pPr>
      <w:r>
        <w:rPr>
          <w:sz w:val="20"/>
        </w:rPr>
        <w:t xml:space="preserve">г) нарушение лицензионного требования, предусмотренного </w:t>
      </w:r>
      <w:hyperlink w:history="0" w:anchor="P68" w:tooltip="б) исполнение обязанностей по договору управления многоквартирным домом, предусмотренных частью 2 статьи 162 Жилищного кодекса Российской Федерации;">
        <w:r>
          <w:rPr>
            <w:sz w:val="20"/>
            <w:color w:val="0000ff"/>
          </w:rPr>
          <w:t xml:space="preserve">подпунктом "б" пункта 3</w:t>
        </w:r>
      </w:hyperlink>
      <w:r>
        <w:rPr>
          <w:sz w:val="20"/>
        </w:rPr>
        <w:t xml:space="preserve"> настоящего Положения,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bookmarkStart w:id="80" w:name="P80"/>
    <w:bookmarkEnd w:id="80"/>
    <w:p>
      <w:pPr>
        <w:pStyle w:val="0"/>
        <w:spacing w:before="200" w:line-rule="auto"/>
        <w:ind w:firstLine="540"/>
        <w:jc w:val="both"/>
      </w:pPr>
      <w:r>
        <w:rPr>
          <w:sz w:val="20"/>
        </w:rPr>
        <w:t xml:space="preserve">д) нарушение лицензионного требования, предусмотренного </w:t>
      </w:r>
      <w:hyperlink w:history="0" w:anchor="P68" w:tooltip="б) исполнение обязанностей по договору управления многоквартирным домом, предусмотренных частью 2 статьи 162 Жилищного кодекса Российской Федерации;">
        <w:r>
          <w:rPr>
            <w:sz w:val="20"/>
            <w:color w:val="0000ff"/>
          </w:rPr>
          <w:t xml:space="preserve">подпунктом "б" пункта 3</w:t>
        </w:r>
      </w:hyperlink>
      <w:r>
        <w:rPr>
          <w:sz w:val="20"/>
        </w:rPr>
        <w:t xml:space="preserve"> настоящего Положения,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bookmarkStart w:id="81" w:name="P81"/>
    <w:bookmarkEnd w:id="81"/>
    <w:p>
      <w:pPr>
        <w:pStyle w:val="0"/>
        <w:spacing w:before="200" w:line-rule="auto"/>
        <w:ind w:firstLine="540"/>
        <w:jc w:val="both"/>
      </w:pPr>
      <w:r>
        <w:rPr>
          <w:sz w:val="20"/>
        </w:rPr>
        <w:t xml:space="preserve">е) нарушение лицензионного требования, предусмотренного </w:t>
      </w:r>
      <w:hyperlink w:history="0" w:anchor="P68" w:tooltip="б) исполнение обязанностей по договору управления многоквартирным домом, предусмотренных частью 2 статьи 162 Жилищного кодекса Российской Федерации;">
        <w:r>
          <w:rPr>
            <w:sz w:val="20"/>
            <w:color w:val="0000ff"/>
          </w:rPr>
          <w:t xml:space="preserve">подпунктом "б" пункта 3</w:t>
        </w:r>
      </w:hyperlink>
      <w:r>
        <w:rPr>
          <w:sz w:val="20"/>
        </w:rPr>
        <w:t xml:space="preserve"> настоящего Положения,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 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
    <w:bookmarkStart w:id="82" w:name="P82"/>
    <w:bookmarkEnd w:id="82"/>
    <w:p>
      <w:pPr>
        <w:pStyle w:val="0"/>
        <w:spacing w:before="200" w:line-rule="auto"/>
        <w:ind w:firstLine="540"/>
        <w:jc w:val="both"/>
      </w:pPr>
      <w:r>
        <w:rPr>
          <w:sz w:val="20"/>
        </w:rPr>
        <w:t xml:space="preserve">ж) нарушение лицензионного требования, предусмотренного </w:t>
      </w:r>
      <w:hyperlink w:history="0" w:anchor="P71" w:tooltip="г) соблюдение требований, предусмотренных частью 7 статьи 162 и частью 6 статьи 198 Жилищного кодекса Российской Федерации.">
        <w:r>
          <w:rPr>
            <w:sz w:val="20"/>
            <w:color w:val="0000ff"/>
          </w:rPr>
          <w:t xml:space="preserve">подпунктом "г" пункта 3</w:t>
        </w:r>
      </w:hyperlink>
      <w:r>
        <w:rPr>
          <w:sz w:val="20"/>
        </w:rPr>
        <w:t xml:space="preserve"> настоящего Положения,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w:history="0" r:id="rId45" w:tooltip="&quot;Жилищный кодекс Российской Федерации&quot; от 29.12.2004 N 188-ФЗ (ред. от 28.06.2022) {КонсультантПлюс}">
        <w:r>
          <w:rPr>
            <w:sz w:val="20"/>
            <w:color w:val="0000ff"/>
          </w:rPr>
          <w:t xml:space="preserve">части 3 статьи 200</w:t>
        </w:r>
      </w:hyperlink>
      <w:r>
        <w:rPr>
          <w:sz w:val="20"/>
        </w:rPr>
        <w:t xml:space="preserve"> Жилищного кодекса Российской Федерации;</w:t>
      </w:r>
    </w:p>
    <w:bookmarkStart w:id="83" w:name="P83"/>
    <w:bookmarkEnd w:id="83"/>
    <w:p>
      <w:pPr>
        <w:pStyle w:val="0"/>
        <w:spacing w:before="200" w:line-rule="auto"/>
        <w:ind w:firstLine="540"/>
        <w:jc w:val="both"/>
      </w:pPr>
      <w:r>
        <w:rPr>
          <w:sz w:val="20"/>
        </w:rPr>
        <w:t xml:space="preserve">з) нарушение лицензионного требования, предусмотренного </w:t>
      </w:r>
      <w:hyperlink w:history="0" w:anchor="P68" w:tooltip="б) исполнение обязанностей по договору управления многоквартирным домом, предусмотренных частью 2 статьи 162 Жилищного кодекса Российской Федерации;">
        <w:r>
          <w:rPr>
            <w:sz w:val="20"/>
            <w:color w:val="0000ff"/>
          </w:rPr>
          <w:t xml:space="preserve">подпунктом "б" пункта 3</w:t>
        </w:r>
      </w:hyperlink>
      <w:r>
        <w:rPr>
          <w:sz w:val="20"/>
        </w:rPr>
        <w:t xml:space="preserve"> настоящего Положения, в части нарушения лицензиатом требований к осуществлению аварийно-диспетчерского обслуживания, предусмотренных </w:t>
      </w:r>
      <w:hyperlink w:history="0" r:id="rId46"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 {КонсультантПлюс}">
        <w:r>
          <w:rPr>
            <w:sz w:val="20"/>
            <w:color w:val="0000ff"/>
          </w:rPr>
          <w:t xml:space="preserve">пунктом 13</w:t>
        </w:r>
      </w:hyperlink>
      <w:r>
        <w:rPr>
          <w:sz w:val="20"/>
        </w:rP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 "О порядке осуществления деятельности по управлению многоквартирными домами".</w:t>
      </w:r>
    </w:p>
    <w:p>
      <w:pPr>
        <w:pStyle w:val="0"/>
        <w:jc w:val="both"/>
      </w:pPr>
      <w:r>
        <w:rPr>
          <w:sz w:val="20"/>
        </w:rPr>
        <w:t xml:space="preserve">(п. 4(1) введен </w:t>
      </w:r>
      <w:hyperlink w:history="0" r:id="rId47"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Постановлением</w:t>
        </w:r>
      </w:hyperlink>
      <w:r>
        <w:rPr>
          <w:sz w:val="20"/>
        </w:rPr>
        <w:t xml:space="preserve"> Правительства РФ от 13.09.2018 N 1090)</w:t>
      </w:r>
    </w:p>
    <w:p>
      <w:pPr>
        <w:pStyle w:val="0"/>
        <w:spacing w:before="200" w:line-rule="auto"/>
        <w:ind w:firstLine="540"/>
        <w:jc w:val="both"/>
      </w:pPr>
      <w:r>
        <w:rPr>
          <w:sz w:val="20"/>
        </w:rPr>
        <w:t xml:space="preserve">4(2). 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history="0" w:anchor="P76" w:tooltip="а) нарушение лицензионного требования, предусмотренного подпунктом &quot;а&quot; пункта 3 настоящего Положения, повлекшее причинение вреда жизни или тяжкого вреда здоровью граждан, которое подтверждено вступившим в законную силу решением суда;">
        <w:r>
          <w:rPr>
            <w:sz w:val="20"/>
            <w:color w:val="0000ff"/>
          </w:rPr>
          <w:t xml:space="preserve">подпунктами "а"</w:t>
        </w:r>
      </w:hyperlink>
      <w:r>
        <w:rPr>
          <w:sz w:val="20"/>
        </w:rPr>
        <w:t xml:space="preserve">, </w:t>
      </w:r>
      <w:hyperlink w:history="0" w:anchor="P77" w:tooltip="б) нарушение лицензионного требования, предусмотренного подпунктом &quot;а&quot; пункта 3 настоящего Положения,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
        <w:r>
          <w:rPr>
            <w:sz w:val="20"/>
            <w:color w:val="0000ff"/>
          </w:rPr>
          <w:t xml:space="preserve">"б"</w:t>
        </w:r>
      </w:hyperlink>
      <w:r>
        <w:rPr>
          <w:sz w:val="20"/>
        </w:rPr>
        <w:t xml:space="preserve">, </w:t>
      </w:r>
      <w:hyperlink w:history="0" w:anchor="P79" w:tooltip="г) нарушение лицензионного требования, предусмотренного подпунктом &quot;б&quot; пункта 3 настоящего Положения,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
        <w:r>
          <w:rPr>
            <w:sz w:val="20"/>
            <w:color w:val="0000ff"/>
          </w:rPr>
          <w:t xml:space="preserve">"г"</w:t>
        </w:r>
      </w:hyperlink>
      <w:r>
        <w:rPr>
          <w:sz w:val="20"/>
        </w:rPr>
        <w:t xml:space="preserve">, </w:t>
      </w:r>
      <w:hyperlink w:history="0" w:anchor="P80" w:tooltip="д) нарушение лицензионного требования, предусмотренного подпунктом &quot;б&quot; пункта 3 настоящего Положения,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
        <w:r>
          <w:rPr>
            <w:sz w:val="20"/>
            <w:color w:val="0000ff"/>
          </w:rPr>
          <w:t xml:space="preserve">"д"</w:t>
        </w:r>
      </w:hyperlink>
      <w:r>
        <w:rPr>
          <w:sz w:val="20"/>
        </w:rPr>
        <w:t xml:space="preserve"> и </w:t>
      </w:r>
      <w:hyperlink w:history="0" w:anchor="P83" w:tooltip="з) нарушение лицензионного требования, предусмотренного подпунктом &quot;б&quot; пункта 3 настоящего Положения, в части нарушения лицензиатом требований к осуществлению аварийно-диспетчерского обслуживания, предусмотренных пунктом 13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 &quot;О порядке осуществления деятельности по управлению многоквартирными домами&quot;.">
        <w:r>
          <w:rPr>
            <w:sz w:val="20"/>
            <w:color w:val="0000ff"/>
          </w:rPr>
          <w:t xml:space="preserve">"з" пункта 4(1)</w:t>
        </w:r>
      </w:hyperlink>
      <w:r>
        <w:rPr>
          <w:sz w:val="20"/>
        </w:rPr>
        <w:t xml:space="preserve"> настоящего Положения, из реестра лицензий субъекта Российской Федерации в соответствии с </w:t>
      </w:r>
      <w:hyperlink w:history="0" r:id="rId48" w:tooltip="&quot;Жилищный кодекс Российской Федерации&quot; от 29.12.2004 N 188-ФЗ (ред. от 28.06.2022) {КонсультантПлюс}">
        <w:r>
          <w:rPr>
            <w:sz w:val="20"/>
            <w:color w:val="0000ff"/>
          </w:rPr>
          <w:t xml:space="preserve">частью 5.2 статьи 198</w:t>
        </w:r>
      </w:hyperlink>
      <w:r>
        <w:rPr>
          <w:sz w:val="20"/>
        </w:rPr>
        <w:t xml:space="preserve"> Жилищного кодекса Российской Федерации подлежат исключению сведения о многоквартирном доме или многоквартирных домах, в отношении которых такие грубые нарушения лицензионных требований совершены.</w:t>
      </w:r>
    </w:p>
    <w:p>
      <w:pPr>
        <w:pStyle w:val="0"/>
        <w:spacing w:before="200" w:line-rule="auto"/>
        <w:ind w:firstLine="540"/>
        <w:jc w:val="both"/>
      </w:pPr>
      <w:r>
        <w:rPr>
          <w:sz w:val="20"/>
        </w:rP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history="0" w:anchor="P78" w:tooltip="в) нарушение лицензионного требования, предусмотренного подпунктом &quot;а&quot; пункта 3 настоящего Положения,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Правилами пользования газом в части обеспечения безопасности при использовании и содержании внутридомового и внутриквартирного газового обо...">
        <w:r>
          <w:rPr>
            <w:sz w:val="20"/>
            <w:color w:val="0000ff"/>
          </w:rPr>
          <w:t xml:space="preserve">подпунктами "в"</w:t>
        </w:r>
      </w:hyperlink>
      <w:r>
        <w:rPr>
          <w:sz w:val="20"/>
        </w:rPr>
        <w:t xml:space="preserve">, </w:t>
      </w:r>
      <w:hyperlink w:history="0" w:anchor="P81" w:tooltip="е) нарушение лицензионного требования, предусмотренного подпунктом &quot;б&quot; пункта 3 настоящего Положения,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
        <w:r>
          <w:rPr>
            <w:sz w:val="20"/>
            <w:color w:val="0000ff"/>
          </w:rPr>
          <w:t xml:space="preserve">"е"</w:t>
        </w:r>
      </w:hyperlink>
      <w:r>
        <w:rPr>
          <w:sz w:val="20"/>
        </w:rPr>
        <w:t xml:space="preserve">, </w:t>
      </w:r>
      <w:hyperlink w:history="0" w:anchor="P82" w:tooltip="ж) нарушение лицензионного требования, предусмотренного подпунктом &quot;г&quot; пункта 3 настоящего Положения,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части 3 статьи 200 Жилищного кодекса Российской Федерации;">
        <w:r>
          <w:rPr>
            <w:sz w:val="20"/>
            <w:color w:val="0000ff"/>
          </w:rPr>
          <w:t xml:space="preserve">"ж" пункта 4(1)</w:t>
        </w:r>
      </w:hyperlink>
      <w:r>
        <w:rPr>
          <w:sz w:val="20"/>
        </w:rPr>
        <w:t xml:space="preserve"> настоящего Положения, из реестра лицензий субъекта Российской Федерации в соответствии с </w:t>
      </w:r>
      <w:hyperlink w:history="0" r:id="rId49" w:tooltip="&quot;Жилищный кодекс Российской Федерации&quot; от 29.12.2004 N 188-ФЗ (ред. от 28.06.2022) {КонсультантПлюс}">
        <w:r>
          <w:rPr>
            <w:sz w:val="20"/>
            <w:color w:val="0000ff"/>
          </w:rPr>
          <w:t xml:space="preserve">частью 5.2 статьи 198</w:t>
        </w:r>
      </w:hyperlink>
      <w:r>
        <w:rPr>
          <w:sz w:val="20"/>
        </w:rPr>
        <w:t xml:space="preserve"> Жилищного кодекса Российской Федерации подлежат исключению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(п. 4(2) введен </w:t>
      </w:r>
      <w:hyperlink w:history="0" r:id="rId50"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Постановлением</w:t>
        </w:r>
      </w:hyperlink>
      <w:r>
        <w:rPr>
          <w:sz w:val="20"/>
        </w:rPr>
        <w:t xml:space="preserve"> Правительства РФ от 13.09.2018 N 1090)</w:t>
      </w:r>
    </w:p>
    <w:p>
      <w:pPr>
        <w:pStyle w:val="0"/>
        <w:spacing w:before="200" w:line-rule="auto"/>
        <w:ind w:firstLine="540"/>
        <w:jc w:val="both"/>
      </w:pPr>
      <w:r>
        <w:rPr>
          <w:sz w:val="20"/>
        </w:rPr>
        <w:t xml:space="preserve">5. Для получения лицензии соискатель лицензии представляет в лицензирующий орган </w:t>
      </w:r>
      <w:hyperlink w:history="0" r:id="rId51"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о предоставлении лицензии, предусмотренное </w:t>
      </w:r>
      <w:hyperlink w:history="0" r:id="rId52" w:tooltip="Федеральный закон от 04.05.2011 N 99-ФЗ (ред. от 30.12.2021) &quot;О лицензировании отдельных видов деятельности&quot; {КонсультантПлюс}">
        <w:r>
          <w:rPr>
            <w:sz w:val="20"/>
            <w:color w:val="0000ff"/>
          </w:rPr>
          <w:t xml:space="preserve">частью 1 статьи 13</w:t>
        </w:r>
      </w:hyperlink>
      <w:r>
        <w:rPr>
          <w:sz w:val="20"/>
        </w:rPr>
        <w:t xml:space="preserve"> Федерального закона "О лицензировании отдельных видов деятельности", в форме электронного документа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(далее - заявление о предоставлении лицензии). До 1 июля 2022 г. соискатель лицензии вправе представить заявление о предоставлении лицензии на бумажном носителе в лицензирующий орган или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В заявлении о предоставлении лицензии помимо сведений, предусмотренных </w:t>
      </w:r>
      <w:hyperlink w:history="0" r:id="rId53" w:tooltip="Федеральный закон от 04.05.2011 N 99-ФЗ (ред. от 30.12.2021) &quot;О лицензировании отдельных видов деятельности&quot; {КонсультантПлюс}">
        <w:r>
          <w:rPr>
            <w:sz w:val="20"/>
            <w:color w:val="0000ff"/>
          </w:rPr>
          <w:t xml:space="preserve">частью 1 статьи 13</w:t>
        </w:r>
      </w:hyperlink>
      <w:r>
        <w:rPr>
          <w:sz w:val="20"/>
        </w:rPr>
        <w:t xml:space="preserve"> Федерального закона "О лицензировании отдельных видов деятельности", также указываются следующие сведения о соответствии соискателя лицензии лицензионным требованиям, предусмотренным </w:t>
      </w:r>
      <w:hyperlink w:history="0" w:anchor="P73" w:tooltip="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кодексом Российской Федерации, предъявляются лицензионные требования, предусмотренные пунктами 1 - 5 части 1 статьи 193 Жилищного кодекса Российской Федерации.">
        <w:r>
          <w:rPr>
            <w:sz w:val="20"/>
            <w:color w:val="0000ff"/>
          </w:rPr>
          <w:t xml:space="preserve">пунктом 4</w:t>
        </w:r>
      </w:hyperlink>
      <w:r>
        <w:rPr>
          <w:sz w:val="20"/>
        </w:rPr>
        <w:t xml:space="preserve"> настоящего Положения:</w:t>
      </w:r>
    </w:p>
    <w:p>
      <w:pPr>
        <w:pStyle w:val="0"/>
        <w:jc w:val="both"/>
      </w:pPr>
      <w:r>
        <w:rPr>
          <w:sz w:val="20"/>
        </w:rPr>
        <w:t xml:space="preserve">(в ред. </w:t>
      </w:r>
      <w:hyperlink w:history="0" r:id="rId54"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spacing w:before="200" w:line-rule="auto"/>
        <w:ind w:firstLine="540"/>
        <w:jc w:val="both"/>
      </w:pPr>
      <w:r>
        <w:rPr>
          <w:sz w:val="20"/>
        </w:rPr>
        <w:t xml:space="preserve">а) о регистрации соискателя лицензии в качестве юридического лица или индивидуального предпринимателя на территории Российской Федерации;</w:t>
      </w:r>
    </w:p>
    <w:p>
      <w:pPr>
        <w:pStyle w:val="0"/>
        <w:spacing w:before="200" w:line-rule="auto"/>
        <w:ind w:firstLine="540"/>
        <w:jc w:val="both"/>
      </w:pPr>
      <w:r>
        <w:rPr>
          <w:sz w:val="20"/>
        </w:rPr>
        <w:t xml:space="preserve">б) об отсутствии у должностного лица соискателя лицензии (должностного лица другого хозяйственного общества, выступающего в качестве единоличного исполнительного органа соискателя лицензии) (далее - должностное лицо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pPr>
        <w:pStyle w:val="0"/>
        <w:spacing w:before="200" w:line-rule="auto"/>
        <w:ind w:firstLine="540"/>
        <w:jc w:val="both"/>
      </w:pPr>
      <w:r>
        <w:rPr>
          <w:sz w:val="20"/>
        </w:rPr>
        <w:t xml:space="preserve">в)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w:t>
      </w:r>
    </w:p>
    <w:p>
      <w:pPr>
        <w:pStyle w:val="0"/>
        <w:spacing w:before="200" w:line-rule="auto"/>
        <w:ind w:firstLine="540"/>
        <w:jc w:val="both"/>
      </w:pPr>
      <w:r>
        <w:rPr>
          <w:sz w:val="20"/>
        </w:rPr>
        <w:t xml:space="preserve">г) об отсутствии в сводном федеральном реестре лицензий информации об аннулировании лицензии, ранее выданной соискателю лицензии;</w:t>
      </w:r>
    </w:p>
    <w:p>
      <w:pPr>
        <w:pStyle w:val="0"/>
        <w:spacing w:before="200" w:line-rule="auto"/>
        <w:ind w:firstLine="540"/>
        <w:jc w:val="both"/>
      </w:pPr>
      <w:r>
        <w:rPr>
          <w:sz w:val="20"/>
        </w:rPr>
        <w:t xml:space="preserve">д) утратил силу. - </w:t>
      </w:r>
      <w:hyperlink w:history="0" r:id="rId55"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Постановление</w:t>
        </w:r>
      </w:hyperlink>
      <w:r>
        <w:rPr>
          <w:sz w:val="20"/>
        </w:rPr>
        <w:t xml:space="preserve"> Правительства РФ от 13.09.2018 N 1090;</w:t>
      </w:r>
    </w:p>
    <w:p>
      <w:pPr>
        <w:pStyle w:val="0"/>
        <w:spacing w:before="200" w:line-rule="auto"/>
        <w:ind w:firstLine="540"/>
        <w:jc w:val="both"/>
      </w:pPr>
      <w:r>
        <w:rPr>
          <w:sz w:val="20"/>
        </w:rPr>
        <w:t xml:space="preserve">е) реквизиты выданного соискателю лицензии (должностному лицу соискателя лицензии) квалификационного аттестата (фамилия, имя и отчество (при наличии) лица, получившего квалификационный аттестат, номер квалификационного аттестата).</w:t>
      </w:r>
    </w:p>
    <w:p>
      <w:pPr>
        <w:pStyle w:val="0"/>
        <w:jc w:val="both"/>
      </w:pPr>
      <w:r>
        <w:rPr>
          <w:sz w:val="20"/>
        </w:rPr>
        <w:t xml:space="preserve">(пп. "е" введен </w:t>
      </w:r>
      <w:hyperlink w:history="0" r:id="rId56"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spacing w:before="200" w:line-rule="auto"/>
        <w:ind w:firstLine="540"/>
        <w:jc w:val="both"/>
      </w:pPr>
      <w:r>
        <w:rPr>
          <w:sz w:val="20"/>
        </w:rPr>
        <w:t xml:space="preserve">6. Утратил силу с 1 марта 2022 года. - </w:t>
      </w:r>
      <w:hyperlink w:history="0" r:id="rId57"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05.02.2022 N 117.</w:t>
      </w:r>
    </w:p>
    <w:p>
      <w:pPr>
        <w:pStyle w:val="0"/>
        <w:spacing w:before="200" w:line-rule="auto"/>
        <w:ind w:firstLine="540"/>
        <w:jc w:val="both"/>
      </w:pPr>
      <w:r>
        <w:rPr>
          <w:sz w:val="20"/>
        </w:rPr>
        <w:t xml:space="preserve">7. Представление соискателем лицензии заявления о предоставлении лицензии, его прием лицензирующим органом, возврат заявления о предоставлении лицензии, предоставление выписки из реестра лицензий и внесение изменений в реестр лицензий осуществляются в порядке, установленном Федеральным </w:t>
      </w:r>
      <w:hyperlink w:history="0" r:id="rId58"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w:t>
      </w:r>
    </w:p>
    <w:p>
      <w:pPr>
        <w:pStyle w:val="0"/>
        <w:jc w:val="both"/>
      </w:pPr>
      <w:r>
        <w:rPr>
          <w:sz w:val="20"/>
        </w:rPr>
        <w:t xml:space="preserve">(п. 7 в ред. </w:t>
      </w:r>
      <w:hyperlink w:history="0" r:id="rId59"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spacing w:before="200" w:line-rule="auto"/>
        <w:ind w:firstLine="540"/>
        <w:jc w:val="both"/>
      </w:pPr>
      <w:r>
        <w:rPr>
          <w:sz w:val="20"/>
        </w:rPr>
        <w:t xml:space="preserve">7(1). Оценка соответствия соискателя лицензии лицензионным требованиям проводится в форме документарной оценки.</w:t>
      </w:r>
    </w:p>
    <w:p>
      <w:pPr>
        <w:pStyle w:val="0"/>
        <w:jc w:val="both"/>
      </w:pPr>
      <w:r>
        <w:rPr>
          <w:sz w:val="20"/>
        </w:rPr>
        <w:t xml:space="preserve">(п. 7(1) введен </w:t>
      </w:r>
      <w:hyperlink w:history="0" r:id="rId60"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spacing w:before="200" w:line-rule="auto"/>
        <w:ind w:firstLine="540"/>
        <w:jc w:val="both"/>
      </w:pPr>
      <w:r>
        <w:rPr>
          <w:sz w:val="20"/>
        </w:rPr>
        <w:t xml:space="preserve">8. При проведении оценки соответствия соискателя лицензии лицензионным требованиям, указанным в </w:t>
      </w:r>
      <w:hyperlink w:history="0" w:anchor="P73" w:tooltip="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кодексом Российской Федерации, предъявляются лицензионные требования, предусмотренные пунктами 1 - 5 части 1 статьи 193 Жилищного кодекса Российской Федерации.">
        <w:r>
          <w:rPr>
            <w:sz w:val="20"/>
            <w:color w:val="0000ff"/>
          </w:rPr>
          <w:t xml:space="preserve">пункте 4</w:t>
        </w:r>
      </w:hyperlink>
      <w:r>
        <w:rPr>
          <w:sz w:val="20"/>
        </w:rPr>
        <w:t xml:space="preserve"> настоящего Положения, лицензирующий орган запрашивает необходимые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w:t>
      </w:r>
      <w:hyperlink w:history="0" r:id="rId6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"Об организации предоставления государственных и муниципальных услуг".</w:t>
      </w:r>
    </w:p>
    <w:p>
      <w:pPr>
        <w:pStyle w:val="0"/>
        <w:jc w:val="both"/>
      </w:pPr>
      <w:r>
        <w:rPr>
          <w:sz w:val="20"/>
        </w:rPr>
        <w:t xml:space="preserve">(в ред. Постановлений Правительства РФ от 13.09.2018 </w:t>
      </w:r>
      <w:hyperlink w:history="0" r:id="rId62"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rPr>
        <w:t xml:space="preserve">, от 05.02.2022 </w:t>
      </w:r>
      <w:hyperlink w:history="0" r:id="rId63"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N 117</w:t>
        </w:r>
      </w:hyperlink>
      <w:r>
        <w:rPr>
          <w:sz w:val="20"/>
        </w:rPr>
        <w:t xml:space="preserve">)</w:t>
      </w:r>
    </w:p>
    <w:p>
      <w:pPr>
        <w:pStyle w:val="0"/>
        <w:spacing w:before="200" w:line-rule="auto"/>
        <w:ind w:firstLine="540"/>
        <w:jc w:val="both"/>
      </w:pPr>
      <w:r>
        <w:rPr>
          <w:sz w:val="20"/>
        </w:rPr>
        <w:t xml:space="preserve">9. В рамках проведения оценки соответствия соискателя лицензии лицензионным требованиям, указанным в </w:t>
      </w:r>
      <w:hyperlink w:history="0" w:anchor="P73" w:tooltip="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кодексом Российской Федерации, предъявляются лицензионные требования, предусмотренные пунктами 1 - 5 части 1 статьи 193 Жилищного кодекса Российской Федерации.">
        <w:r>
          <w:rPr>
            <w:sz w:val="20"/>
            <w:color w:val="0000ff"/>
          </w:rPr>
          <w:t xml:space="preserve">пункте 4</w:t>
        </w:r>
      </w:hyperlink>
      <w:r>
        <w:rPr>
          <w:sz w:val="20"/>
        </w:rPr>
        <w:t xml:space="preserve"> настоящего Положения, межведомственное информационное взаимодействие в соответствии с </w:t>
      </w:r>
      <w:hyperlink w:history="0" r:id="rId64" w:tooltip="Постановление Правительства РФ от 08.09.2010 N 697 (ред. от 24.06.2021)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осуществляется:</w:t>
      </w:r>
    </w:p>
    <w:p>
      <w:pPr>
        <w:pStyle w:val="0"/>
        <w:jc w:val="both"/>
      </w:pPr>
      <w:r>
        <w:rPr>
          <w:sz w:val="20"/>
        </w:rPr>
        <w:t xml:space="preserve">(в ред. Постановлений Правительства РФ от 13.09.2018 </w:t>
      </w:r>
      <w:hyperlink w:history="0" r:id="rId65"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rPr>
        <w:t xml:space="preserve">, от 05.02.2022 </w:t>
      </w:r>
      <w:hyperlink w:history="0" r:id="rId66"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N 117</w:t>
        </w:r>
      </w:hyperlink>
      <w:r>
        <w:rPr>
          <w:sz w:val="20"/>
        </w:rPr>
        <w:t xml:space="preserve">)</w:t>
      </w:r>
    </w:p>
    <w:p>
      <w:pPr>
        <w:pStyle w:val="0"/>
        <w:spacing w:before="200" w:line-rule="auto"/>
        <w:ind w:firstLine="540"/>
        <w:jc w:val="both"/>
      </w:pPr>
      <w:r>
        <w:rPr>
          <w:sz w:val="20"/>
        </w:rPr>
        <w:t xml:space="preserve">а) с Федеральным казначейством для получения сведений об уплате государственной пошлины;</w:t>
      </w:r>
    </w:p>
    <w:p>
      <w:pPr>
        <w:pStyle w:val="0"/>
        <w:spacing w:before="200" w:line-rule="auto"/>
        <w:ind w:firstLine="540"/>
        <w:jc w:val="both"/>
      </w:pPr>
      <w:r>
        <w:rPr>
          <w:sz w:val="20"/>
        </w:rPr>
        <w:t xml:space="preserve">б) с Федеральной налоговой службой для получения сведений, содержащихся в Едином государственном реестре юридических лиц и Едином государственном реестре индивидуальных предпринимателей;</w:t>
      </w:r>
    </w:p>
    <w:p>
      <w:pPr>
        <w:pStyle w:val="0"/>
        <w:spacing w:before="200" w:line-rule="auto"/>
        <w:ind w:firstLine="540"/>
        <w:jc w:val="both"/>
      </w:pPr>
      <w:r>
        <w:rPr>
          <w:sz w:val="20"/>
        </w:rPr>
        <w:t xml:space="preserve">в) с Министерством внутренних дел Российской Федерации для получения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pPr>
        <w:pStyle w:val="0"/>
        <w:spacing w:before="200" w:line-rule="auto"/>
        <w:ind w:firstLine="540"/>
        <w:jc w:val="both"/>
      </w:pPr>
      <w:r>
        <w:rPr>
          <w:sz w:val="20"/>
        </w:rPr>
        <w:t xml:space="preserve">г) с Министерством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pPr>
        <w:pStyle w:val="0"/>
        <w:spacing w:before="200" w:line-rule="auto"/>
        <w:ind w:firstLine="540"/>
        <w:jc w:val="both"/>
      </w:pPr>
      <w:r>
        <w:rPr>
          <w:sz w:val="20"/>
        </w:rPr>
        <w:t xml:space="preserve">10. Принятие лицензионной комиссией решения, предусмотренного </w:t>
      </w:r>
      <w:hyperlink w:history="0" r:id="rId67" w:tooltip="&quot;Жилищный кодекс Российской Федерации&quot; от 29.12.2004 N 188-ФЗ (ред. от 28.06.2022) {КонсультантПлюс}">
        <w:r>
          <w:rPr>
            <w:sz w:val="20"/>
            <w:color w:val="0000ff"/>
          </w:rPr>
          <w:t xml:space="preserve">пунктом 1 части 4 статьи 201</w:t>
        </w:r>
      </w:hyperlink>
      <w:r>
        <w:rPr>
          <w:sz w:val="20"/>
        </w:rPr>
        <w:t xml:space="preserve"> Жилищного кодекса Российской Федерации, и оформление лицензирующим органом приказа о предоставлении лицензии или об отказе в ее предоставлении осуществляются в порядке, установленном </w:t>
      </w:r>
      <w:hyperlink w:history="0" r:id="rId68" w:tooltip="Федеральный закон от 04.05.2011 N 99-ФЗ (ред. от 30.12.2021) &quot;О лицензировании отдельных видов деятельности&quot; {КонсультантПлюс}">
        <w:r>
          <w:rPr>
            <w:sz w:val="20"/>
            <w:color w:val="0000ff"/>
          </w:rPr>
          <w:t xml:space="preserve">статьей 14</w:t>
        </w:r>
      </w:hyperlink>
      <w:r>
        <w:rPr>
          <w:sz w:val="20"/>
        </w:rPr>
        <w:t xml:space="preserve"> Федерального закона "О лицензировании отдельных видов деятельности" с учетом положений </w:t>
      </w:r>
      <w:hyperlink w:history="0" r:id="rId69" w:tooltip="&quot;Жилищный кодекс Российской Федерации&quot; от 29.12.2004 N 188-ФЗ (ред. от 28.06.2022) {КонсультантПлюс}">
        <w:r>
          <w:rPr>
            <w:sz w:val="20"/>
            <w:color w:val="0000ff"/>
          </w:rPr>
          <w:t xml:space="preserve">статей 194</w:t>
        </w:r>
      </w:hyperlink>
      <w:r>
        <w:rPr>
          <w:sz w:val="20"/>
        </w:rPr>
        <w:t xml:space="preserve"> и </w:t>
      </w:r>
      <w:hyperlink w:history="0" r:id="rId70" w:tooltip="&quot;Жилищный кодекс Российской Федерации&quot; от 29.12.2004 N 188-ФЗ (ред. от 28.06.2022) {КонсультантПлюс}">
        <w:r>
          <w:rPr>
            <w:sz w:val="20"/>
            <w:color w:val="0000ff"/>
          </w:rPr>
          <w:t xml:space="preserve">201</w:t>
        </w:r>
      </w:hyperlink>
      <w:r>
        <w:rPr>
          <w:sz w:val="20"/>
        </w:rPr>
        <w:t xml:space="preserve"> Жилищного кодекса Российской Федерации. Срок оформления приказа лицензирующего органа с учетом сроков, необходимых для принятия лицензионной комиссией решения, не может превышать 30 рабочих дней со дня приема заявления о предоставлении лицензии лицензирующим органом.</w:t>
      </w:r>
    </w:p>
    <w:p>
      <w:pPr>
        <w:pStyle w:val="0"/>
        <w:jc w:val="both"/>
      </w:pPr>
      <w:r>
        <w:rPr>
          <w:sz w:val="20"/>
        </w:rPr>
        <w:t xml:space="preserve">(в ред. </w:t>
      </w:r>
      <w:hyperlink w:history="0" r:id="rId71"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spacing w:before="200" w:line-rule="auto"/>
        <w:ind w:firstLine="540"/>
        <w:jc w:val="both"/>
      </w:pPr>
      <w:r>
        <w:rPr>
          <w:sz w:val="20"/>
        </w:rPr>
        <w:t xml:space="preserve">11. Приостановление и возобновление действия лицензии не осуществляется.</w:t>
      </w:r>
    </w:p>
    <w:p>
      <w:pPr>
        <w:pStyle w:val="0"/>
        <w:spacing w:before="200" w:line-rule="auto"/>
        <w:ind w:firstLine="540"/>
        <w:jc w:val="both"/>
      </w:pPr>
      <w:r>
        <w:rPr>
          <w:sz w:val="20"/>
        </w:rPr>
        <w:t xml:space="preserve">12. Аннулирование лицензии и прекращение ее действия осуществляются в порядке и по основаниям, которые установлены Жилищным </w:t>
      </w:r>
      <w:hyperlink w:history="0" r:id="rId72" w:tooltip="&quot;Жилищный кодекс Российской Федерации&quot; от 29.12.2004 N 188-ФЗ (ред. от 28.06.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13. К отношениям, связанным с оценкой соблюдения лицензиатом лицензионных требований, применяются положения Федерального </w:t>
      </w:r>
      <w:hyperlink w:history="0" r:id="rId7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 и Федерального </w:t>
      </w:r>
      <w:hyperlink w:history="0" r:id="rId74"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 лицензировании отдельных видов деятельности".</w:t>
      </w:r>
    </w:p>
    <w:p>
      <w:pPr>
        <w:pStyle w:val="0"/>
        <w:jc w:val="both"/>
      </w:pPr>
      <w:r>
        <w:rPr>
          <w:sz w:val="20"/>
        </w:rPr>
        <w:t xml:space="preserve">(п. 13 в ред. </w:t>
      </w:r>
      <w:hyperlink w:history="0" r:id="rId75"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spacing w:before="200" w:line-rule="auto"/>
        <w:ind w:firstLine="540"/>
        <w:jc w:val="both"/>
      </w:pPr>
      <w:r>
        <w:rPr>
          <w:sz w:val="20"/>
        </w:rPr>
        <w:t xml:space="preserve">14.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органа в информационно-телекоммуникационной сети "Интернет" с указанием адресов электронной почты, по которым пользователи этой информации могут направлять запросы по вопросам лицензирования.</w:t>
      </w:r>
    </w:p>
    <w:p>
      <w:pPr>
        <w:pStyle w:val="0"/>
        <w:spacing w:before="200" w:line-rule="auto"/>
        <w:ind w:firstLine="540"/>
        <w:jc w:val="both"/>
      </w:pPr>
      <w:r>
        <w:rPr>
          <w:sz w:val="20"/>
        </w:rPr>
        <w:t xml:space="preserve">15. Лицензирующий орган формирует и ведет реестр лицензий субъекта Российской Федерации в порядке, установленном </w:t>
      </w:r>
      <w:hyperlink w:history="0" r:id="rId76" w:tooltip="Федеральный закон от 04.05.2011 N 99-ФЗ (ред. от 30.12.2021) &quot;О лицензировании отдельных видов деятельности&quot; {КонсультантПлюс}">
        <w:r>
          <w:rPr>
            <w:sz w:val="20"/>
            <w:color w:val="0000ff"/>
          </w:rPr>
          <w:t xml:space="preserve">статьей 21</w:t>
        </w:r>
      </w:hyperlink>
      <w:r>
        <w:rPr>
          <w:sz w:val="20"/>
        </w:rPr>
        <w:t xml:space="preserve"> Федерального закона "О лицензировании отдельных видов деятельности", с учетом особенностей лицензирования предпринимательской деятельности по управлению многоквартирными домами, установленных Жилищным </w:t>
      </w:r>
      <w:hyperlink w:history="0" r:id="rId77" w:tooltip="&quot;Жилищный кодекс Российской Федерации&quot; от 29.12.2004 N 188-ФЗ (ред. от 28.06.2022) {КонсультантПлюс}">
        <w:r>
          <w:rPr>
            <w:sz w:val="20"/>
            <w:color w:val="0000ff"/>
          </w:rPr>
          <w:t xml:space="preserve">кодексом</w:t>
        </w:r>
      </w:hyperlink>
      <w:r>
        <w:rPr>
          <w:sz w:val="20"/>
        </w:rPr>
        <w:t xml:space="preserve"> Российской Федерации. С 1 мая 2015 г. формирование и ведение реестра лицензий субъекта Российской Федерации осуществляется в государственной информационной </w:t>
      </w:r>
      <w:hyperlink w:history="0" r:id="rId78" w:tooltip="Приказ Минкомсвязи России N 504, Минстроя России N 934/пр от 30.12.2014 &quot;Об определении официального сайта государственной информационной системы жилищно-коммунального хозяйства в информационно-телекоммуникационной сети &quot;Интернет&quot; (Зарегистрировано в Минюсте России 20.02.2015 N 36121) {КонсультантПлюс}">
        <w:r>
          <w:rPr>
            <w:sz w:val="20"/>
            <w:color w:val="0000ff"/>
          </w:rPr>
          <w:t xml:space="preserve">системе</w:t>
        </w:r>
      </w:hyperlink>
      <w:r>
        <w:rPr>
          <w:sz w:val="20"/>
        </w:rPr>
        <w:t xml:space="preserve"> жилищно-коммунального хозяйства.</w:t>
      </w:r>
    </w:p>
    <w:p>
      <w:pPr>
        <w:pStyle w:val="0"/>
        <w:spacing w:before="200" w:line-rule="auto"/>
        <w:ind w:firstLine="540"/>
        <w:jc w:val="both"/>
      </w:pPr>
      <w:r>
        <w:rPr>
          <w:sz w:val="20"/>
        </w:rPr>
        <w:t xml:space="preserve">16. Министерство строительства и жилищно-коммунального хозяйства Российской Федерации ведет сводный федеральный реестр лицензий, включающий сведения о лицензиях, выданных лицензирующими органами, на официальном сайте Министерства в информационно-телекоммуникационной сети "Интернет", а с 1 мая 2015 г. -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17.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pPr>
        <w:pStyle w:val="0"/>
        <w:spacing w:before="200" w:line-rule="auto"/>
        <w:ind w:firstLine="540"/>
        <w:jc w:val="both"/>
      </w:pPr>
      <w:r>
        <w:rPr>
          <w:sz w:val="20"/>
        </w:rPr>
        <w:t xml:space="preserve">Решение о продлении срока действия лицензии принимается лицензирующим органом при условии, что в результате проверки лицензиата установлено соблюдение срока подачи заявления о продлении срока действия лицензии, его соответствие лицензионным требованиям, предусмотренным </w:t>
      </w:r>
      <w:hyperlink w:history="0" r:id="rId79" w:tooltip="&quot;Жилищный кодекс Российской Федерации&quot; от 29.12.2004 N 188-ФЗ (ред. от 28.06.2022) {КонсультантПлюс}">
        <w:r>
          <w:rPr>
            <w:sz w:val="20"/>
            <w:color w:val="0000ff"/>
          </w:rPr>
          <w:t xml:space="preserve">пунктами 1</w:t>
        </w:r>
      </w:hyperlink>
      <w:r>
        <w:rPr>
          <w:sz w:val="20"/>
        </w:rPr>
        <w:t xml:space="preserve"> - </w:t>
      </w:r>
      <w:hyperlink w:history="0" r:id="rId80" w:tooltip="&quot;Жилищный кодекс Российской Федерации&quot; от 29.12.2004 N 188-ФЗ (ред. от 28.06.2022) {КонсультантПлюс}">
        <w:r>
          <w:rPr>
            <w:sz w:val="20"/>
            <w:color w:val="0000ff"/>
          </w:rPr>
          <w:t xml:space="preserve">6.1 части 1 статьи 193</w:t>
        </w:r>
      </w:hyperlink>
      <w:r>
        <w:rPr>
          <w:sz w:val="20"/>
        </w:rPr>
        <w:t xml:space="preserve"> Жилищного кодекса Российской Федерации, а также отсутствие грубых нарушений лицензиатом лицензионных требований, предусмотренных </w:t>
      </w:r>
      <w:hyperlink w:history="0" w:anchor="P78" w:tooltip="в) нарушение лицензионного требования, предусмотренного подпунктом &quot;а&quot; пункта 3 настоящего Положения,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Правилами пользования газом в части обеспечения безопасности при использовании и содержании внутридомового и внутриквартирного газового обо...">
        <w:r>
          <w:rPr>
            <w:sz w:val="20"/>
            <w:color w:val="0000ff"/>
          </w:rPr>
          <w:t xml:space="preserve">подпунктами "в"</w:t>
        </w:r>
      </w:hyperlink>
      <w:r>
        <w:rPr>
          <w:sz w:val="20"/>
        </w:rPr>
        <w:t xml:space="preserve"> - </w:t>
      </w:r>
      <w:hyperlink w:history="0" w:anchor="P80" w:tooltip="д) нарушение лицензионного требования, предусмотренного подпунктом &quot;б&quot; пункта 3 настоящего Положения,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
        <w:r>
          <w:rPr>
            <w:sz w:val="20"/>
            <w:color w:val="0000ff"/>
          </w:rPr>
          <w:t xml:space="preserve">"д" пункта 4(1)</w:t>
        </w:r>
      </w:hyperlink>
      <w:r>
        <w:rPr>
          <w:sz w:val="20"/>
        </w:rPr>
        <w:t xml:space="preserve"> настоящего Положения, и неисполненных предписаний об устранении грубых нарушений лицензионных требований, срок исполнения которых истек на дату проведения указанной проверки. Срок рассмотрения заявления о продлении срока действия лицензии не может превышать 15 рабочих дней со дня его поступления в лицензирующий орган.</w:t>
      </w:r>
    </w:p>
    <w:p>
      <w:pPr>
        <w:pStyle w:val="0"/>
        <w:jc w:val="both"/>
      </w:pPr>
      <w:r>
        <w:rPr>
          <w:sz w:val="20"/>
        </w:rPr>
        <w:t xml:space="preserve">(в ред. </w:t>
      </w:r>
      <w:hyperlink w:history="0" r:id="rId81"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jc w:val="both"/>
      </w:pPr>
      <w:r>
        <w:rPr>
          <w:sz w:val="20"/>
        </w:rPr>
        <w:t xml:space="preserve">(п. 17 в ред. </w:t>
      </w:r>
      <w:hyperlink w:history="0" r:id="rId82"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spacing w:before="200" w:line-rule="auto"/>
        <w:ind w:firstLine="540"/>
        <w:jc w:val="both"/>
      </w:pPr>
      <w:r>
        <w:rPr>
          <w:sz w:val="20"/>
        </w:rPr>
        <w:t xml:space="preserve">18. </w:t>
      </w:r>
      <w:hyperlink w:history="0" r:id="rId83"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о внесении изменений в реестр лицензий подается в лицензирующий орган не позднее 15 рабочих дней со дня наступления случая, являющегося основанием для внесения изменений в реестр лицензий в соответствии с </w:t>
      </w:r>
      <w:hyperlink w:history="0" r:id="rId84" w:tooltip="Федеральный закон от 04.05.2011 N 99-ФЗ (ред. от 30.12.2021) &quot;О лицензировании отдельных видов деятельности&quot; {КонсультантПлюс}">
        <w:r>
          <w:rPr>
            <w:sz w:val="20"/>
            <w:color w:val="0000ff"/>
          </w:rPr>
          <w:t xml:space="preserve">частью 1 статьи 18</w:t>
        </w:r>
      </w:hyperlink>
      <w:r>
        <w:rPr>
          <w:sz w:val="20"/>
        </w:rPr>
        <w:t xml:space="preserve"> Федерального закона "О лицензировании отдельных видов деятельности".</w:t>
      </w:r>
    </w:p>
    <w:p>
      <w:pPr>
        <w:pStyle w:val="0"/>
        <w:jc w:val="both"/>
      </w:pPr>
      <w:r>
        <w:rPr>
          <w:sz w:val="20"/>
        </w:rPr>
        <w:t xml:space="preserve">(в ред. Постановлений Правительства РФ от 13.09.2018 </w:t>
      </w:r>
      <w:hyperlink w:history="0" r:id="rId85"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rPr>
        <w:t xml:space="preserve">, от 05.02.2022 </w:t>
      </w:r>
      <w:hyperlink w:history="0" r:id="rId86"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N 117</w:t>
        </w:r>
      </w:hyperlink>
      <w:r>
        <w:rPr>
          <w:sz w:val="20"/>
        </w:rPr>
        <w:t xml:space="preserve">)</w:t>
      </w:r>
    </w:p>
    <w:p>
      <w:pPr>
        <w:pStyle w:val="0"/>
        <w:spacing w:before="200" w:line-rule="auto"/>
        <w:ind w:firstLine="540"/>
        <w:jc w:val="both"/>
      </w:pPr>
      <w:r>
        <w:rPr>
          <w:sz w:val="20"/>
        </w:rPr>
        <w:t xml:space="preserve">19. За предоставление лицензирующим органом лицензии и внесение изменений в реестр лицензий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уплачивается государственная пошлина в размере и порядке, которые установлены законодательством Российской Федерации о налогах и сборах.</w:t>
      </w:r>
    </w:p>
    <w:p>
      <w:pPr>
        <w:pStyle w:val="0"/>
        <w:jc w:val="both"/>
      </w:pPr>
      <w:r>
        <w:rPr>
          <w:sz w:val="20"/>
        </w:rPr>
        <w:t xml:space="preserve">(п. 19 в ред. </w:t>
      </w:r>
      <w:hyperlink w:history="0" r:id="rId87"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05.02.2022 N 117)</w:t>
      </w:r>
    </w:p>
    <w:p>
      <w:pPr>
        <w:pStyle w:val="0"/>
        <w:jc w:val="center"/>
      </w:pPr>
      <w:r>
        <w:rPr>
          <w:sz w:val="20"/>
        </w:rPr>
      </w:r>
    </w:p>
    <w:p>
      <w:pPr>
        <w:pStyle w:val="2"/>
        <w:outlineLvl w:val="1"/>
        <w:jc w:val="center"/>
      </w:pPr>
      <w:r>
        <w:rPr>
          <w:sz w:val="20"/>
        </w:rPr>
        <w:t xml:space="preserve">II. Общие положения, связанные с осуществлением</w:t>
      </w:r>
    </w:p>
    <w:p>
      <w:pPr>
        <w:pStyle w:val="2"/>
        <w:jc w:val="center"/>
      </w:pPr>
      <w:r>
        <w:rPr>
          <w:sz w:val="20"/>
        </w:rPr>
        <w:t xml:space="preserve">лицензионного контроля</w:t>
      </w:r>
    </w:p>
    <w:p>
      <w:pPr>
        <w:pStyle w:val="0"/>
        <w:jc w:val="center"/>
      </w:pPr>
      <w:r>
        <w:rPr>
          <w:sz w:val="20"/>
        </w:rPr>
        <w:t xml:space="preserve">(введен </w:t>
      </w:r>
      <w:hyperlink w:history="0" r:id="rId88"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both"/>
      </w:pPr>
      <w:r>
        <w:rPr>
          <w:sz w:val="20"/>
        </w:rPr>
      </w:r>
    </w:p>
    <w:p>
      <w:pPr>
        <w:pStyle w:val="0"/>
        <w:ind w:firstLine="540"/>
        <w:jc w:val="both"/>
      </w:pPr>
      <w:r>
        <w:rPr>
          <w:sz w:val="20"/>
        </w:rPr>
        <w:t xml:space="preserve">20. Лицензионный контроль осуществляется лицензирующим органом в соответствии с настоящим Положением.</w:t>
      </w:r>
    </w:p>
    <w:p>
      <w:pPr>
        <w:pStyle w:val="0"/>
        <w:spacing w:before="200" w:line-rule="auto"/>
        <w:ind w:firstLine="540"/>
        <w:jc w:val="both"/>
      </w:pPr>
      <w:r>
        <w:rPr>
          <w:sz w:val="20"/>
        </w:rPr>
        <w:t xml:space="preserve">21. Должностными лицами, уполномоченными на осуществление лицензионного контроля, являются:</w:t>
      </w:r>
    </w:p>
    <w:p>
      <w:pPr>
        <w:pStyle w:val="0"/>
        <w:spacing w:before="200" w:line-rule="auto"/>
        <w:ind w:firstLine="540"/>
        <w:jc w:val="both"/>
      </w:pPr>
      <w:r>
        <w:rPr>
          <w:sz w:val="20"/>
        </w:rPr>
        <w:t xml:space="preserve">а) руководитель лицензирующего органа, являющийся по должности главным государственным жилищным инспектором субъекта Российской Федерации, и его заместители, являющиеся по должности заместителями главного государственного жилищного инспектора субъекта Российской Федерации;</w:t>
      </w:r>
    </w:p>
    <w:p>
      <w:pPr>
        <w:pStyle w:val="0"/>
        <w:spacing w:before="200" w:line-rule="auto"/>
        <w:ind w:firstLine="540"/>
        <w:jc w:val="both"/>
      </w:pPr>
      <w:r>
        <w:rPr>
          <w:sz w:val="20"/>
        </w:rPr>
        <w:t xml:space="preserve">б) руководители структурных подразделений лицензирующего органа, в должностные обязанности которых в соответствии с должностными регламентами входит осуществление полномочий по лицензионному контролю;</w:t>
      </w:r>
    </w:p>
    <w:p>
      <w:pPr>
        <w:pStyle w:val="0"/>
        <w:spacing w:before="200" w:line-rule="auto"/>
        <w:ind w:firstLine="540"/>
        <w:jc w:val="both"/>
      </w:pPr>
      <w:r>
        <w:rPr>
          <w:sz w:val="20"/>
        </w:rPr>
        <w:t xml:space="preserve">в) должностные лица структурных подразделений лицензирующего органа, должностными регламентами которых предусмотрены полномочия по осуществлению лицензионного контроля;</w:t>
      </w:r>
    </w:p>
    <w:p>
      <w:pPr>
        <w:pStyle w:val="0"/>
        <w:spacing w:before="200" w:line-rule="auto"/>
        <w:ind w:firstLine="540"/>
        <w:jc w:val="both"/>
      </w:pPr>
      <w:r>
        <w:rPr>
          <w:sz w:val="20"/>
        </w:rPr>
        <w:t xml:space="preserve">г)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pPr>
        <w:pStyle w:val="0"/>
        <w:spacing w:before="200" w:line-rule="auto"/>
        <w:ind w:firstLine="540"/>
        <w:jc w:val="both"/>
      </w:pPr>
      <w:r>
        <w:rPr>
          <w:sz w:val="20"/>
        </w:rPr>
        <w:t xml:space="preserve">д) руководители структурных подразделений территориальных органов лицензирующего органа, должностные лица структурных подразделений территориальных органов лицензирующего органа, должностными регламентами которых предусмотрены полномочия по осуществлению лицензионного контроля.</w:t>
      </w:r>
    </w:p>
    <w:p>
      <w:pPr>
        <w:pStyle w:val="0"/>
        <w:spacing w:before="200" w:line-rule="auto"/>
        <w:ind w:firstLine="540"/>
        <w:jc w:val="both"/>
      </w:pPr>
      <w:r>
        <w:rPr>
          <w:sz w:val="20"/>
        </w:rPr>
        <w:t xml:space="preserve">22. Должностными лицами, уполномоченными на принятие решений о проведении контрольных (надзорных) мероприятий, являются:</w:t>
      </w:r>
    </w:p>
    <w:p>
      <w:pPr>
        <w:pStyle w:val="0"/>
        <w:spacing w:before="200" w:line-rule="auto"/>
        <w:ind w:firstLine="540"/>
        <w:jc w:val="both"/>
      </w:pPr>
      <w:r>
        <w:rPr>
          <w:sz w:val="20"/>
        </w:rPr>
        <w:t xml:space="preserve">а) руководитель лицензирующего органа и его заместители;</w:t>
      </w:r>
    </w:p>
    <w:p>
      <w:pPr>
        <w:pStyle w:val="0"/>
        <w:spacing w:before="200" w:line-rule="auto"/>
        <w:ind w:firstLine="540"/>
        <w:jc w:val="both"/>
      </w:pPr>
      <w:r>
        <w:rPr>
          <w:sz w:val="20"/>
        </w:rPr>
        <w:t xml:space="preserve">б)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pPr>
        <w:pStyle w:val="0"/>
        <w:spacing w:before="200" w:line-rule="auto"/>
        <w:ind w:firstLine="540"/>
        <w:jc w:val="both"/>
      </w:pPr>
      <w:r>
        <w:rPr>
          <w:sz w:val="20"/>
        </w:rPr>
        <w:t xml:space="preserve">23. Объектами лицензионного контроля являются деятельность, действия (бездействие)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(далее - лицензиат).</w:t>
      </w:r>
    </w:p>
    <w:p>
      <w:pPr>
        <w:pStyle w:val="0"/>
        <w:spacing w:before="200" w:line-rule="auto"/>
        <w:ind w:firstLine="540"/>
        <w:jc w:val="both"/>
      </w:pPr>
      <w:r>
        <w:rPr>
          <w:sz w:val="20"/>
        </w:rPr>
        <w:t xml:space="preserve">24. Учет объектов лицензионного контроля осуществляется с использованием государственной информационной системы жилищно-коммунального хозяйства (далее - система жилищно-коммунального хозяйства) посредством сбора, обработки, анализа и учета информации об объектах лицензионного контроля, размещаемой в системе жилищно-коммунального хозяйства в соответствии с требованиями, установленными </w:t>
      </w:r>
      <w:hyperlink w:history="0" r:id="rId89"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статьей 7</w:t>
        </w:r>
      </w:hyperlink>
      <w:r>
        <w:rPr>
          <w:sz w:val="20"/>
        </w:rP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pPr>
        <w:pStyle w:val="0"/>
        <w:spacing w:before="200" w:line-rule="auto"/>
        <w:ind w:firstLine="540"/>
        <w:jc w:val="both"/>
      </w:pPr>
      <w:r>
        <w:rPr>
          <w:sz w:val="20"/>
        </w:rPr>
        <w:t xml:space="preserve">25. Предметом лицензионного контроля является соблюдение лицензиатом лицензионных требований.</w:t>
      </w:r>
    </w:p>
    <w:p>
      <w:pPr>
        <w:pStyle w:val="0"/>
        <w:spacing w:before="200" w:line-rule="auto"/>
        <w:ind w:firstLine="540"/>
        <w:jc w:val="both"/>
      </w:pPr>
      <w:r>
        <w:rPr>
          <w:sz w:val="20"/>
        </w:rPr>
        <w:t xml:space="preserve">26. Должностные лица, уполномоченные на осуществление лицензионного контроля, при осуществлении лицензионного контроля имеют права и выполняют обязанности, установленные </w:t>
      </w:r>
      <w:hyperlink w:history="0" r:id="rId9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29</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27. Должностные лица, уполномоченные на осуществление лицензионного контроля, имеют служебные удостоверения единого образца, установленного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28. Организация и осуществление лицензионного контроля регулируются Федеральным </w:t>
      </w:r>
      <w:hyperlink w:history="0" r:id="rId9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jc w:val="both"/>
      </w:pPr>
      <w:r>
        <w:rPr>
          <w:sz w:val="20"/>
        </w:rPr>
      </w:r>
    </w:p>
    <w:p>
      <w:pPr>
        <w:pStyle w:val="2"/>
        <w:outlineLvl w:val="1"/>
        <w:jc w:val="center"/>
      </w:pPr>
      <w:r>
        <w:rPr>
          <w:sz w:val="20"/>
        </w:rPr>
        <w:t xml:space="preserve">III. Управление рисками причинения вреда (ущерба) охраняемым</w:t>
      </w:r>
    </w:p>
    <w:p>
      <w:pPr>
        <w:pStyle w:val="2"/>
        <w:jc w:val="center"/>
      </w:pPr>
      <w:r>
        <w:rPr>
          <w:sz w:val="20"/>
        </w:rPr>
        <w:t xml:space="preserve">законом ценностям при осуществлении лицензионного контроля</w:t>
      </w:r>
    </w:p>
    <w:p>
      <w:pPr>
        <w:pStyle w:val="0"/>
        <w:jc w:val="center"/>
      </w:pPr>
      <w:r>
        <w:rPr>
          <w:sz w:val="20"/>
        </w:rPr>
        <w:t xml:space="preserve">(введен </w:t>
      </w:r>
      <w:hyperlink w:history="0" r:id="rId92"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29. При осуществлении лицензионного контроля применяется система оценки и управления рисками причинения вреда (ущерба).</w:t>
      </w:r>
    </w:p>
    <w:p>
      <w:pPr>
        <w:pStyle w:val="0"/>
        <w:spacing w:before="200" w:line-rule="auto"/>
        <w:ind w:firstLine="540"/>
        <w:jc w:val="both"/>
      </w:pPr>
      <w:r>
        <w:rPr>
          <w:sz w:val="20"/>
        </w:rPr>
        <w:t xml:space="preserve">30.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(ущерба):</w:t>
      </w:r>
    </w:p>
    <w:p>
      <w:pPr>
        <w:pStyle w:val="0"/>
        <w:spacing w:before="200" w:line-rule="auto"/>
        <w:ind w:firstLine="540"/>
        <w:jc w:val="both"/>
      </w:pPr>
      <w:r>
        <w:rPr>
          <w:sz w:val="20"/>
        </w:rPr>
        <w:t xml:space="preserve">а) высокий риск;</w:t>
      </w:r>
    </w:p>
    <w:p>
      <w:pPr>
        <w:pStyle w:val="0"/>
        <w:spacing w:before="200" w:line-rule="auto"/>
        <w:ind w:firstLine="540"/>
        <w:jc w:val="both"/>
      </w:pPr>
      <w:r>
        <w:rPr>
          <w:sz w:val="20"/>
        </w:rPr>
        <w:t xml:space="preserve">б) средний риск</w:t>
      </w:r>
    </w:p>
    <w:p>
      <w:pPr>
        <w:pStyle w:val="0"/>
        <w:spacing w:before="200" w:line-rule="auto"/>
        <w:ind w:firstLine="540"/>
        <w:jc w:val="both"/>
      </w:pPr>
      <w:r>
        <w:rPr>
          <w:sz w:val="20"/>
        </w:rPr>
        <w:t xml:space="preserve">в) умеренный риск;</w:t>
      </w:r>
    </w:p>
    <w:p>
      <w:pPr>
        <w:pStyle w:val="0"/>
        <w:spacing w:before="200" w:line-rule="auto"/>
        <w:ind w:firstLine="540"/>
        <w:jc w:val="both"/>
      </w:pPr>
      <w:r>
        <w:rPr>
          <w:sz w:val="20"/>
        </w:rPr>
        <w:t xml:space="preserve">г) низкий риск.</w:t>
      </w:r>
    </w:p>
    <w:p>
      <w:pPr>
        <w:pStyle w:val="0"/>
        <w:spacing w:before="200" w:line-rule="auto"/>
        <w:ind w:firstLine="540"/>
        <w:jc w:val="both"/>
      </w:pPr>
      <w:r>
        <w:rPr>
          <w:sz w:val="20"/>
        </w:rPr>
        <w:t xml:space="preserve">31. 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(ущерба) охраняемым законом ценностям согласно </w:t>
      </w:r>
      <w:hyperlink w:history="0" w:anchor="P307" w:tooltip="КРИТЕРИИ">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32. Плановые контрольные (надзорные) мероприятия в отношении объектов лицензионного контроля проводятся в зависимости от категории риска.</w:t>
      </w:r>
    </w:p>
    <w:p>
      <w:pPr>
        <w:pStyle w:val="0"/>
        <w:spacing w:before="200" w:line-rule="auto"/>
        <w:ind w:firstLine="540"/>
        <w:jc w:val="both"/>
      </w:pPr>
      <w:r>
        <w:rPr>
          <w:sz w:val="20"/>
        </w:rPr>
        <w:t xml:space="preserve">Для категории высокого риска проводится одно из следующих контрольных (надзорных) мероприятий:</w:t>
      </w:r>
    </w:p>
    <w:p>
      <w:pPr>
        <w:pStyle w:val="0"/>
        <w:spacing w:before="200" w:line-rule="auto"/>
        <w:ind w:firstLine="540"/>
        <w:jc w:val="both"/>
      </w:pPr>
      <w:r>
        <w:rPr>
          <w:sz w:val="20"/>
        </w:rPr>
        <w:t xml:space="preserve">инспекционный визит - один раз в 3 года;</w:t>
      </w:r>
    </w:p>
    <w:p>
      <w:pPr>
        <w:pStyle w:val="0"/>
        <w:spacing w:before="200" w:line-rule="auto"/>
        <w:ind w:firstLine="540"/>
        <w:jc w:val="both"/>
      </w:pPr>
      <w:r>
        <w:rPr>
          <w:sz w:val="20"/>
        </w:rPr>
        <w:t xml:space="preserve">документарная проверка - один раз в 3 года;</w:t>
      </w:r>
    </w:p>
    <w:p>
      <w:pPr>
        <w:pStyle w:val="0"/>
        <w:spacing w:before="200" w:line-rule="auto"/>
        <w:ind w:firstLine="540"/>
        <w:jc w:val="both"/>
      </w:pPr>
      <w:r>
        <w:rPr>
          <w:sz w:val="20"/>
        </w:rPr>
        <w:t xml:space="preserve">выездная проверка - один раз в 3 года.</w:t>
      </w:r>
    </w:p>
    <w:p>
      <w:pPr>
        <w:pStyle w:val="0"/>
        <w:spacing w:before="200" w:line-rule="auto"/>
        <w:ind w:firstLine="540"/>
        <w:jc w:val="both"/>
      </w:pPr>
      <w:r>
        <w:rPr>
          <w:sz w:val="20"/>
        </w:rPr>
        <w:t xml:space="preserve">Для категории среднего риска проводится одно из следующих контрольных (надзорных) мероприятий:</w:t>
      </w:r>
    </w:p>
    <w:p>
      <w:pPr>
        <w:pStyle w:val="0"/>
        <w:spacing w:before="200" w:line-rule="auto"/>
        <w:ind w:firstLine="540"/>
        <w:jc w:val="both"/>
      </w:pPr>
      <w:r>
        <w:rPr>
          <w:sz w:val="20"/>
        </w:rPr>
        <w:t xml:space="preserve">инспекционный визит - один раз в 4 года;</w:t>
      </w:r>
    </w:p>
    <w:p>
      <w:pPr>
        <w:pStyle w:val="0"/>
        <w:spacing w:before="200" w:line-rule="auto"/>
        <w:ind w:firstLine="540"/>
        <w:jc w:val="both"/>
      </w:pPr>
      <w:r>
        <w:rPr>
          <w:sz w:val="20"/>
        </w:rPr>
        <w:t xml:space="preserve">документарная проверка - один раз в 4 года;</w:t>
      </w:r>
    </w:p>
    <w:p>
      <w:pPr>
        <w:pStyle w:val="0"/>
        <w:spacing w:before="200" w:line-rule="auto"/>
        <w:ind w:firstLine="540"/>
        <w:jc w:val="both"/>
      </w:pPr>
      <w:r>
        <w:rPr>
          <w:sz w:val="20"/>
        </w:rPr>
        <w:t xml:space="preserve">выездная проверка - один раз в 4 года.</w:t>
      </w:r>
    </w:p>
    <w:p>
      <w:pPr>
        <w:pStyle w:val="0"/>
        <w:spacing w:before="200" w:line-rule="auto"/>
        <w:ind w:firstLine="540"/>
        <w:jc w:val="both"/>
      </w:pPr>
      <w:r>
        <w:rPr>
          <w:sz w:val="20"/>
        </w:rPr>
        <w:t xml:space="preserve">Для категории умеренного риска проводится одно из следующих контрольных (надзорных) мероприятий:</w:t>
      </w:r>
    </w:p>
    <w:p>
      <w:pPr>
        <w:pStyle w:val="0"/>
        <w:spacing w:before="200" w:line-rule="auto"/>
        <w:ind w:firstLine="540"/>
        <w:jc w:val="both"/>
      </w:pPr>
      <w:r>
        <w:rPr>
          <w:sz w:val="20"/>
        </w:rPr>
        <w:t xml:space="preserve">инспекционный визит - один раз в 5 лет;</w:t>
      </w:r>
    </w:p>
    <w:p>
      <w:pPr>
        <w:pStyle w:val="0"/>
        <w:spacing w:before="200" w:line-rule="auto"/>
        <w:ind w:firstLine="540"/>
        <w:jc w:val="both"/>
      </w:pPr>
      <w:r>
        <w:rPr>
          <w:sz w:val="20"/>
        </w:rPr>
        <w:t xml:space="preserve">документарная проверка - один раз в 5 лет;</w:t>
      </w:r>
    </w:p>
    <w:p>
      <w:pPr>
        <w:pStyle w:val="0"/>
        <w:spacing w:before="200" w:line-rule="auto"/>
        <w:ind w:firstLine="540"/>
        <w:jc w:val="both"/>
      </w:pPr>
      <w:r>
        <w:rPr>
          <w:sz w:val="20"/>
        </w:rPr>
        <w:t xml:space="preserve">выездная проверка - один раз в 5 лет.</w:t>
      </w:r>
    </w:p>
    <w:p>
      <w:pPr>
        <w:pStyle w:val="0"/>
        <w:spacing w:before="200" w:line-rule="auto"/>
        <w:ind w:firstLine="540"/>
        <w:jc w:val="both"/>
      </w:pPr>
      <w:r>
        <w:rPr>
          <w:sz w:val="20"/>
        </w:rPr>
        <w:t xml:space="preserve">33. В отношении объектов лицензионного контроля, которые отнесены к категории низкого риска, плановые контрольные (надзорные) мероприятия не проводятся.</w:t>
      </w:r>
    </w:p>
    <w:p>
      <w:pPr>
        <w:pStyle w:val="0"/>
        <w:jc w:val="both"/>
      </w:pPr>
      <w:r>
        <w:rPr>
          <w:sz w:val="20"/>
        </w:rPr>
      </w:r>
    </w:p>
    <w:p>
      <w:pPr>
        <w:pStyle w:val="2"/>
        <w:outlineLvl w:val="1"/>
        <w:jc w:val="center"/>
      </w:pPr>
      <w:r>
        <w:rPr>
          <w:sz w:val="20"/>
        </w:rPr>
        <w:t xml:space="preserve">IV. Организация проведения профилактических мероприятий</w:t>
      </w:r>
    </w:p>
    <w:p>
      <w:pPr>
        <w:pStyle w:val="2"/>
        <w:jc w:val="center"/>
      </w:pPr>
      <w:r>
        <w:rPr>
          <w:sz w:val="20"/>
        </w:rPr>
        <w:t xml:space="preserve">при осуществлении лицензионного контроля</w:t>
      </w:r>
    </w:p>
    <w:p>
      <w:pPr>
        <w:pStyle w:val="0"/>
        <w:jc w:val="center"/>
      </w:pPr>
      <w:r>
        <w:rPr>
          <w:sz w:val="20"/>
        </w:rPr>
        <w:t xml:space="preserve">(введен </w:t>
      </w:r>
      <w:hyperlink w:history="0" r:id="rId93"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34. В целях стимулирования добросовестного соблюдения лицензионных требований лицензиатами,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в целях создания условий для доведения лицензионных требований до лицензиатов,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pPr>
        <w:pStyle w:val="0"/>
        <w:spacing w:before="200" w:line-rule="auto"/>
        <w:ind w:firstLine="540"/>
        <w:jc w:val="both"/>
      </w:pPr>
      <w:r>
        <w:rPr>
          <w:sz w:val="20"/>
        </w:rPr>
        <w:t xml:space="preserve">35. В рамках лицензионного контроля осуществляются следующие профилактические мероприятия:</w:t>
      </w:r>
    </w:p>
    <w:p>
      <w:pPr>
        <w:pStyle w:val="0"/>
        <w:spacing w:before="200" w:line-rule="auto"/>
        <w:ind w:firstLine="540"/>
        <w:jc w:val="both"/>
      </w:pPr>
      <w:r>
        <w:rPr>
          <w:sz w:val="20"/>
        </w:rPr>
        <w:t xml:space="preserve">а) информирование;</w:t>
      </w:r>
    </w:p>
    <w:p>
      <w:pPr>
        <w:pStyle w:val="0"/>
        <w:spacing w:before="200" w:line-rule="auto"/>
        <w:ind w:firstLine="540"/>
        <w:jc w:val="both"/>
      </w:pPr>
      <w:r>
        <w:rPr>
          <w:sz w:val="20"/>
        </w:rPr>
        <w:t xml:space="preserve">б) обобщение правоприменительной практики;</w:t>
      </w:r>
    </w:p>
    <w:p>
      <w:pPr>
        <w:pStyle w:val="0"/>
        <w:spacing w:before="200" w:line-rule="auto"/>
        <w:ind w:firstLine="540"/>
        <w:jc w:val="both"/>
      </w:pPr>
      <w:r>
        <w:rPr>
          <w:sz w:val="20"/>
        </w:rPr>
        <w:t xml:space="preserve">в) объявление предостережения;</w:t>
      </w:r>
    </w:p>
    <w:p>
      <w:pPr>
        <w:pStyle w:val="0"/>
        <w:spacing w:before="200" w:line-rule="auto"/>
        <w:ind w:firstLine="540"/>
        <w:jc w:val="both"/>
      </w:pPr>
      <w:r>
        <w:rPr>
          <w:sz w:val="20"/>
        </w:rPr>
        <w:t xml:space="preserve">г) консультирование;</w:t>
      </w:r>
    </w:p>
    <w:p>
      <w:pPr>
        <w:pStyle w:val="0"/>
        <w:spacing w:before="200" w:line-rule="auto"/>
        <w:ind w:firstLine="540"/>
        <w:jc w:val="both"/>
      </w:pPr>
      <w:r>
        <w:rPr>
          <w:sz w:val="20"/>
        </w:rPr>
        <w:t xml:space="preserve">д) профилактический визит.</w:t>
      </w:r>
    </w:p>
    <w:p>
      <w:pPr>
        <w:pStyle w:val="0"/>
        <w:spacing w:before="200" w:line-rule="auto"/>
        <w:ind w:firstLine="540"/>
        <w:jc w:val="both"/>
      </w:pPr>
      <w:r>
        <w:rPr>
          <w:sz w:val="20"/>
        </w:rPr>
        <w:t xml:space="preserve">36. Информирование осуществляется в соответствии со </w:t>
      </w:r>
      <w:hyperlink w:history="0" r:id="rId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46</w:t>
        </w:r>
      </w:hyperlink>
      <w:r>
        <w:rPr>
          <w:sz w:val="20"/>
        </w:rPr>
        <w:t xml:space="preserve"> Федерального закона "О государственном контроле (надзоре) и муниципальном контроле в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0"/>
        <w:spacing w:before="200" w:line-rule="auto"/>
        <w:ind w:firstLine="540"/>
        <w:jc w:val="both"/>
      </w:pPr>
      <w:r>
        <w:rPr>
          <w:sz w:val="20"/>
        </w:rPr>
        <w:t xml:space="preserve">37. Лицензирующий орган в сроки, установленные законодательством Российской Федерации, обязан размещать и поддерживать в актуальном состоянии на своем официальном сайте в информационно-телекоммуникационной сети "Интернет" (далее - сеть "Интернет") сведения, предусмотренные </w:t>
      </w:r>
      <w:hyperlink w:history="0" r:id="rId9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частью 3 статьи 46</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38. Обобщение правоприменительной практики осуществляется ежегодно должностными лицами лицензирующего органа путем сбора и анализа данных о проведенных контрольных (надзорных) мероприятиях и их результатах, а также анализа поступивших в адрес лицензирующего органа обращений.</w:t>
      </w:r>
    </w:p>
    <w:p>
      <w:pPr>
        <w:pStyle w:val="0"/>
        <w:spacing w:before="200" w:line-rule="auto"/>
        <w:ind w:firstLine="540"/>
        <w:jc w:val="both"/>
      </w:pPr>
      <w:r>
        <w:rPr>
          <w:sz w:val="20"/>
        </w:rPr>
        <w:t xml:space="preserve">По итогам обобщения правоприменительной практики лицензирующим органом готовится проект доклада, содержащего результаты обобщения правоприменительной практики лицензирующего органа (далее - доклад о правоприменительной практике), который в обязательном порядке проходит публичные обсуждения.</w:t>
      </w:r>
    </w:p>
    <w:p>
      <w:pPr>
        <w:pStyle w:val="0"/>
        <w:spacing w:before="200" w:line-rule="auto"/>
        <w:ind w:firstLine="540"/>
        <w:jc w:val="both"/>
      </w:pPr>
      <w:r>
        <w:rPr>
          <w:sz w:val="20"/>
        </w:rPr>
        <w:t xml:space="preserve">Доклад о правоприменительной практике утверждается приказом (распоряжением) руководителя лицензирующего органа до 10 марта года, следующего за отчетным годом, и размещается на официальном сайте лицензирующего органа в сети "Интернет" до 15 марта года, следующего за отчетным годом.</w:t>
      </w:r>
    </w:p>
    <w:p>
      <w:pPr>
        <w:pStyle w:val="0"/>
        <w:spacing w:before="200" w:line-rule="auto"/>
        <w:ind w:firstLine="540"/>
        <w:jc w:val="both"/>
      </w:pPr>
      <w:r>
        <w:rPr>
          <w:sz w:val="20"/>
        </w:rPr>
        <w:t xml:space="preserve">39. Доклад о правоприменительной практике подлежит направлению лицензирующим органом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2 рабочих дней со дня его размещения на официальном сайте органа государственного жилищного надзора в сети "Интернет".</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до 15 апреля года, следующего за отчетным годом, готовит ежегодный доклад о состоянии лицензионного контроля, содержащий результаты обобщения правоприменительной практики по осуществлению лицензионного контроля в Российской Федерации, и размещает его на своем официальном сайте в сети "Интернет".</w:t>
      </w:r>
    </w:p>
    <w:p>
      <w:pPr>
        <w:pStyle w:val="0"/>
        <w:spacing w:before="200" w:line-rule="auto"/>
        <w:ind w:firstLine="540"/>
        <w:jc w:val="both"/>
      </w:pPr>
      <w:r>
        <w:rPr>
          <w:sz w:val="20"/>
        </w:rPr>
        <w:t xml:space="preserve">40. Объявление предостережения осуществляется в соответствии со </w:t>
      </w:r>
      <w:hyperlink w:history="0" r:id="rId9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49</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Лицензиат не позднее 15 рабочих дней после получения предостережения о недопустимости нарушения лицензионных требований вправе подать в соответствующий лицензирующий орган возражение в отношении указанного предостережения, в котором указываются:</w:t>
      </w:r>
    </w:p>
    <w:p>
      <w:pPr>
        <w:pStyle w:val="0"/>
        <w:spacing w:before="200" w:line-rule="auto"/>
        <w:ind w:firstLine="540"/>
        <w:jc w:val="both"/>
      </w:pPr>
      <w:r>
        <w:rPr>
          <w:sz w:val="20"/>
        </w:rPr>
        <w:t xml:space="preserve">наименование юридического лица, фамилия, имя, отчество (при наличии)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 - лицензиата;</w:t>
      </w:r>
    </w:p>
    <w:p>
      <w:pPr>
        <w:pStyle w:val="0"/>
        <w:spacing w:before="200" w:line-rule="auto"/>
        <w:ind w:firstLine="540"/>
        <w:jc w:val="both"/>
      </w:pPr>
      <w:r>
        <w:rPr>
          <w:sz w:val="20"/>
        </w:rPr>
        <w:t xml:space="preserve">дата и номер лицензии лицензиата;</w:t>
      </w:r>
    </w:p>
    <w:p>
      <w:pPr>
        <w:pStyle w:val="0"/>
        <w:spacing w:before="200" w:line-rule="auto"/>
        <w:ind w:firstLine="540"/>
        <w:jc w:val="both"/>
      </w:pPr>
      <w:r>
        <w:rPr>
          <w:sz w:val="20"/>
        </w:rPr>
        <w:t xml:space="preserve">дата и номер предостережения, направленного в адрес лицензиата;</w:t>
      </w:r>
    </w:p>
    <w:p>
      <w:pPr>
        <w:pStyle w:val="0"/>
        <w:spacing w:before="200" w:line-rule="auto"/>
        <w:ind w:firstLine="540"/>
        <w:jc w:val="both"/>
      </w:pPr>
      <w:r>
        <w:rPr>
          <w:sz w:val="20"/>
        </w:rPr>
        <w:t xml:space="preserve">обоснование позиции лицензиата в отношении указанных в предостережении его действий (бездействия), которые приводят или могут привести к нарушению лицензионных требований.</w:t>
      </w:r>
    </w:p>
    <w:p>
      <w:pPr>
        <w:pStyle w:val="0"/>
        <w:spacing w:before="200" w:line-rule="auto"/>
        <w:ind w:firstLine="540"/>
        <w:jc w:val="both"/>
      </w:pPr>
      <w:r>
        <w:rPr>
          <w:sz w:val="20"/>
        </w:rPr>
        <w:t xml:space="preserve">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лицензионных требований, или иными указанными в таком предостережении способами.</w:t>
      </w:r>
    </w:p>
    <w:p>
      <w:pPr>
        <w:pStyle w:val="0"/>
        <w:spacing w:before="200" w:line-rule="auto"/>
        <w:ind w:firstLine="540"/>
        <w:jc w:val="both"/>
      </w:pPr>
      <w:r>
        <w:rPr>
          <w:sz w:val="20"/>
        </w:rPr>
        <w:t xml:space="preserve">Лицензирующий орган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w:t>
      </w:r>
    </w:p>
    <w:p>
      <w:pPr>
        <w:pStyle w:val="0"/>
        <w:spacing w:before="200" w:line-rule="auto"/>
        <w:ind w:firstLine="540"/>
        <w:jc w:val="both"/>
      </w:pPr>
      <w:r>
        <w:rPr>
          <w:sz w:val="20"/>
        </w:rPr>
        <w:t xml:space="preserve">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pPr>
        <w:pStyle w:val="0"/>
        <w:spacing w:before="200" w:line-rule="auto"/>
        <w:ind w:firstLine="540"/>
        <w:jc w:val="both"/>
      </w:pPr>
      <w:r>
        <w:rPr>
          <w:sz w:val="20"/>
        </w:rPr>
        <w:t xml:space="preserve">41. Консультирование осуществляется в соответствии со </w:t>
      </w:r>
      <w:hyperlink w:history="0" r:id="rId9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50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42. Консультирование осуществляется по следующим вопросам:</w:t>
      </w:r>
    </w:p>
    <w:p>
      <w:pPr>
        <w:pStyle w:val="0"/>
        <w:spacing w:before="200" w:line-rule="auto"/>
        <w:ind w:firstLine="540"/>
        <w:jc w:val="both"/>
      </w:pPr>
      <w:r>
        <w:rPr>
          <w:sz w:val="20"/>
        </w:rPr>
        <w:t xml:space="preserve">а) организация и осуществление лицензионного контроля;</w:t>
      </w:r>
    </w:p>
    <w:p>
      <w:pPr>
        <w:pStyle w:val="0"/>
        <w:spacing w:before="200" w:line-rule="auto"/>
        <w:ind w:firstLine="540"/>
        <w:jc w:val="both"/>
      </w:pPr>
      <w:r>
        <w:rPr>
          <w:sz w:val="20"/>
        </w:rPr>
        <w:t xml:space="preserve">б) порядок проведения профилактических мероприятий;</w:t>
      </w:r>
    </w:p>
    <w:bookmarkStart w:id="207" w:name="P207"/>
    <w:bookmarkEnd w:id="207"/>
    <w:p>
      <w:pPr>
        <w:pStyle w:val="0"/>
        <w:spacing w:before="200" w:line-rule="auto"/>
        <w:ind w:firstLine="540"/>
        <w:jc w:val="both"/>
      </w:pPr>
      <w:r>
        <w:rPr>
          <w:sz w:val="20"/>
        </w:rPr>
        <w:t xml:space="preserve">в) предмет лицензионного контроля.</w:t>
      </w:r>
    </w:p>
    <w:p>
      <w:pPr>
        <w:pStyle w:val="0"/>
        <w:spacing w:before="200" w:line-rule="auto"/>
        <w:ind w:firstLine="540"/>
        <w:jc w:val="both"/>
      </w:pPr>
      <w:r>
        <w:rPr>
          <w:sz w:val="20"/>
        </w:rPr>
        <w:t xml:space="preserve">43. Письменное консультирование осуществляется по вопросу, предусмотренному </w:t>
      </w:r>
      <w:hyperlink w:history="0" w:anchor="P207" w:tooltip="в) предмет лицензионного контроля.">
        <w:r>
          <w:rPr>
            <w:sz w:val="20"/>
            <w:color w:val="0000ff"/>
          </w:rPr>
          <w:t xml:space="preserve">подпунктом "в" пункта 42</w:t>
        </w:r>
      </w:hyperlink>
      <w:r>
        <w:rPr>
          <w:sz w:val="20"/>
        </w:rPr>
        <w:t xml:space="preserve"> настоящего Положения, в случае поступления соответствующего обращения в письменной форме.</w:t>
      </w:r>
    </w:p>
    <w:p>
      <w:pPr>
        <w:pStyle w:val="0"/>
        <w:spacing w:before="200" w:line-rule="auto"/>
        <w:ind w:firstLine="540"/>
        <w:jc w:val="both"/>
      </w:pPr>
      <w:r>
        <w:rPr>
          <w:sz w:val="20"/>
        </w:rPr>
        <w:t xml:space="preserve">44. В случае поступления 5 и более обращений, содержащих однотипные вопросы, лицензиатов и (или) их представителей консультирование по таким вопросам осуществляется посредством размещения на официальном сайте лицензирующего органа в сети "Интернет" письменного разъяснения с учетом требований законодательства Российской Федерации о государственной, коммерческой, служебной и иной охраняемой законом тайне, подписанного должностным лицом лицензирующего органа.</w:t>
      </w:r>
    </w:p>
    <w:p>
      <w:pPr>
        <w:pStyle w:val="0"/>
        <w:spacing w:before="200" w:line-rule="auto"/>
        <w:ind w:firstLine="540"/>
        <w:jc w:val="both"/>
      </w:pPr>
      <w:r>
        <w:rPr>
          <w:sz w:val="20"/>
        </w:rPr>
        <w:t xml:space="preserve">45. Профилактический визит осуществляется в соответствии со </w:t>
      </w:r>
      <w:hyperlink w:history="0" r:id="rId9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52</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Обязательные профилактические визиты проводятся в отношении лицензиатов, приступающих к осуществлению предпринимательской деятельности по управлению многоквартирными домами, а также в отношении объектов лицензионного контроля, отнесенных к категории высокого риска. Лицензирующий орган обязан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w:t>
      </w:r>
    </w:p>
    <w:p>
      <w:pPr>
        <w:pStyle w:val="0"/>
        <w:spacing w:before="200" w:line-rule="auto"/>
        <w:ind w:firstLine="540"/>
        <w:jc w:val="both"/>
      </w:pPr>
      <w:r>
        <w:rPr>
          <w:sz w:val="20"/>
        </w:rPr>
        <w:t xml:space="preserve">Лицензиат вправе отказаться от проведения обязательного профилактического визита, уведомив об этом лицензирующий орган не позднее чем за 3 рабочих дня до даты его проведения.</w:t>
      </w:r>
    </w:p>
    <w:p>
      <w:pPr>
        <w:pStyle w:val="0"/>
        <w:spacing w:before="200" w:line-rule="auto"/>
        <w:ind w:firstLine="540"/>
        <w:jc w:val="both"/>
      </w:pPr>
      <w:r>
        <w:rPr>
          <w:sz w:val="20"/>
        </w:rPr>
        <w:t xml:space="preserve">Профилактический визит проводится в форме профилактической беседы по месту осуществления деятельности лицензиата либо путем использования видео-конференц-связи.</w:t>
      </w:r>
    </w:p>
    <w:p>
      <w:pPr>
        <w:pStyle w:val="0"/>
        <w:spacing w:before="200" w:line-rule="auto"/>
        <w:ind w:firstLine="540"/>
        <w:jc w:val="both"/>
      </w:pPr>
      <w:r>
        <w:rPr>
          <w:sz w:val="20"/>
        </w:rPr>
        <w:t xml:space="preserve">Срок проведения обязательного профилактического визита составляет один рабочий день.</w:t>
      </w:r>
    </w:p>
    <w:p>
      <w:pPr>
        <w:pStyle w:val="0"/>
        <w:spacing w:before="200" w:line-rule="auto"/>
        <w:ind w:firstLine="540"/>
        <w:jc w:val="both"/>
      </w:pPr>
      <w:r>
        <w:rPr>
          <w:sz w:val="20"/>
        </w:rPr>
        <w:t xml:space="preserve">В ходе профилактического визита лицензиат информируется о лицензионных требованиях, предъявляемых к его деятельности как объекту лицензионного контроля, об отнесении его деятельности как объекта лицензионного контроля к категориям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указанной деятельности как объекта лицензионного контроля, отнесенного к соответствующей категории риска.</w:t>
      </w:r>
    </w:p>
    <w:p>
      <w:pPr>
        <w:pStyle w:val="0"/>
        <w:spacing w:before="200" w:line-rule="auto"/>
        <w:ind w:firstLine="540"/>
        <w:jc w:val="both"/>
      </w:pPr>
      <w:r>
        <w:rPr>
          <w:sz w:val="20"/>
        </w:rPr>
        <w:t xml:space="preserve">При проведении профилактического визита лицензиатам не могут выдаваться предписания об устранении нарушений лицензионных требований. Разъяснения, полученные лицензиатом в ходе профилактического визита, носят рекомендательный характер.</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лицензионного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(лица) лицензирующего органа незамедлительно направляет информацию об этом уполномоченному должностному лицу лицензирующего органа для принятия решения о проведении контрольных (надзорных) мероприятий.</w:t>
      </w:r>
    </w:p>
    <w:p>
      <w:pPr>
        <w:pStyle w:val="0"/>
        <w:jc w:val="both"/>
      </w:pPr>
      <w:r>
        <w:rPr>
          <w:sz w:val="20"/>
        </w:rPr>
      </w:r>
    </w:p>
    <w:p>
      <w:pPr>
        <w:pStyle w:val="2"/>
        <w:outlineLvl w:val="1"/>
        <w:jc w:val="center"/>
      </w:pPr>
      <w:r>
        <w:rPr>
          <w:sz w:val="20"/>
        </w:rPr>
        <w:t xml:space="preserve">V. Организация проведения контрольных (надзорных)</w:t>
      </w:r>
    </w:p>
    <w:p>
      <w:pPr>
        <w:pStyle w:val="2"/>
        <w:jc w:val="center"/>
      </w:pPr>
      <w:r>
        <w:rPr>
          <w:sz w:val="20"/>
        </w:rPr>
        <w:t xml:space="preserve">мероприятий при осуществлении лицензионного контроля</w:t>
      </w:r>
    </w:p>
    <w:p>
      <w:pPr>
        <w:pStyle w:val="0"/>
        <w:jc w:val="center"/>
      </w:pPr>
      <w:r>
        <w:rPr>
          <w:sz w:val="20"/>
        </w:rPr>
        <w:t xml:space="preserve">(введен </w:t>
      </w:r>
      <w:hyperlink w:history="0" r:id="rId99"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46. При осуществлении лицензионного контроля проводятся следующие контрольные (надзорные) мероприятия:</w:t>
      </w:r>
    </w:p>
    <w:p>
      <w:pPr>
        <w:pStyle w:val="0"/>
        <w:spacing w:before="200" w:line-rule="auto"/>
        <w:ind w:firstLine="540"/>
        <w:jc w:val="both"/>
      </w:pPr>
      <w:r>
        <w:rPr>
          <w:sz w:val="20"/>
        </w:rPr>
        <w:t xml:space="preserve">а) предусматривающие взаимодействие с лицензиатом на плановой и внеплановой основе:</w:t>
      </w:r>
    </w:p>
    <w:p>
      <w:pPr>
        <w:pStyle w:val="0"/>
        <w:spacing w:before="200" w:line-rule="auto"/>
        <w:ind w:firstLine="540"/>
        <w:jc w:val="both"/>
      </w:pPr>
      <w:r>
        <w:rPr>
          <w:sz w:val="20"/>
        </w:rPr>
        <w:t xml:space="preserve">инспекционный визит;</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б) без взаимодействия с лицензиатом:</w:t>
      </w:r>
    </w:p>
    <w:p>
      <w:pPr>
        <w:pStyle w:val="0"/>
        <w:spacing w:before="200" w:line-rule="auto"/>
        <w:ind w:firstLine="540"/>
        <w:jc w:val="both"/>
      </w:pPr>
      <w:r>
        <w:rPr>
          <w:sz w:val="20"/>
        </w:rPr>
        <w:t xml:space="preserve">наблюдение за соблюдением лицензионных требований;</w:t>
      </w:r>
    </w:p>
    <w:p>
      <w:pPr>
        <w:pStyle w:val="0"/>
        <w:spacing w:before="200" w:line-rule="auto"/>
        <w:ind w:firstLine="540"/>
        <w:jc w:val="both"/>
      </w:pPr>
      <w:r>
        <w:rPr>
          <w:sz w:val="20"/>
        </w:rPr>
        <w:t xml:space="preserve">выездное обследование.</w:t>
      </w:r>
    </w:p>
    <w:p>
      <w:pPr>
        <w:pStyle w:val="0"/>
        <w:spacing w:before="200" w:line-rule="auto"/>
        <w:ind w:firstLine="540"/>
        <w:jc w:val="both"/>
      </w:pPr>
      <w:r>
        <w:rPr>
          <w:sz w:val="20"/>
        </w:rPr>
        <w:t xml:space="preserve">47. Инспекционный визит проводится по месту нахождения (осуществления деятельности) лицензиата (его филиалов, представительств, обособленных структурных подразделений).</w:t>
      </w:r>
    </w:p>
    <w:p>
      <w:pPr>
        <w:pStyle w:val="0"/>
        <w:spacing w:before="200" w:line-rule="auto"/>
        <w:ind w:firstLine="540"/>
        <w:jc w:val="both"/>
      </w:pPr>
      <w:r>
        <w:rPr>
          <w:sz w:val="20"/>
        </w:rPr>
        <w:t xml:space="preserve">48.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w:t>
      </w:r>
    </w:p>
    <w:p>
      <w:pPr>
        <w:pStyle w:val="0"/>
        <w:spacing w:before="200" w:line-rule="auto"/>
        <w:ind w:firstLine="540"/>
        <w:jc w:val="both"/>
      </w:pPr>
      <w:r>
        <w:rPr>
          <w:sz w:val="20"/>
        </w:rPr>
        <w:t xml:space="preserve">49.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получение письменных объяснений;</w:t>
      </w:r>
    </w:p>
    <w:p>
      <w:pPr>
        <w:pStyle w:val="0"/>
        <w:spacing w:before="200" w:line-rule="auto"/>
        <w:ind w:firstLine="540"/>
        <w:jc w:val="both"/>
      </w:pPr>
      <w:r>
        <w:rPr>
          <w:sz w:val="20"/>
        </w:rPr>
        <w:t xml:space="preserve">б) истребование документов.</w:t>
      </w:r>
    </w:p>
    <w:p>
      <w:pPr>
        <w:pStyle w:val="0"/>
        <w:spacing w:before="200" w:line-rule="auto"/>
        <w:ind w:firstLine="540"/>
        <w:jc w:val="both"/>
      </w:pPr>
      <w:r>
        <w:rPr>
          <w:sz w:val="20"/>
        </w:rPr>
        <w:t xml:space="preserve">50.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инструментальное обследование;</w:t>
      </w:r>
    </w:p>
    <w:p>
      <w:pPr>
        <w:pStyle w:val="0"/>
        <w:spacing w:before="200" w:line-rule="auto"/>
        <w:ind w:firstLine="540"/>
        <w:jc w:val="both"/>
      </w:pPr>
      <w:r>
        <w:rPr>
          <w:sz w:val="20"/>
        </w:rPr>
        <w:t xml:space="preserve">д) экспертиза.</w:t>
      </w:r>
    </w:p>
    <w:p>
      <w:pPr>
        <w:pStyle w:val="0"/>
        <w:spacing w:before="200" w:line-rule="auto"/>
        <w:ind w:firstLine="540"/>
        <w:jc w:val="both"/>
      </w:pPr>
      <w:r>
        <w:rPr>
          <w:sz w:val="20"/>
        </w:rPr>
        <w:t xml:space="preserve">51. 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pPr>
        <w:pStyle w:val="0"/>
        <w:spacing w:before="200" w:line-rule="auto"/>
        <w:ind w:firstLine="540"/>
        <w:jc w:val="both"/>
      </w:pPr>
      <w:r>
        <w:rPr>
          <w:sz w:val="20"/>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w:history="0" r:id="rId1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пункт 6 части 1 статьи 57</w:t>
        </w:r>
      </w:hyperlink>
      <w:r>
        <w:rPr>
          <w:sz w:val="20"/>
        </w:rPr>
        <w:t xml:space="preserve">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w:t>
      </w:r>
    </w:p>
    <w:p>
      <w:pPr>
        <w:pStyle w:val="0"/>
        <w:spacing w:before="200" w:line-rule="auto"/>
        <w:ind w:firstLine="540"/>
        <w:jc w:val="both"/>
      </w:pPr>
      <w:r>
        <w:rPr>
          <w:sz w:val="20"/>
        </w:rPr>
        <w:t xml:space="preserve">52. При осуществлении наблюдения за соблюдением лицензионных требований лицензирующий орган:</w:t>
      </w:r>
    </w:p>
    <w:p>
      <w:pPr>
        <w:pStyle w:val="0"/>
        <w:spacing w:before="200" w:line-rule="auto"/>
        <w:ind w:firstLine="540"/>
        <w:jc w:val="both"/>
      </w:pPr>
      <w:r>
        <w:rPr>
          <w:sz w:val="20"/>
        </w:rPr>
        <w:t xml:space="preserve">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pPr>
        <w:pStyle w:val="0"/>
        <w:spacing w:before="200" w:line-rule="auto"/>
        <w:ind w:firstLine="540"/>
        <w:jc w:val="both"/>
      </w:pPr>
      <w:r>
        <w:rPr>
          <w:sz w:val="20"/>
        </w:rPr>
        <w:t xml:space="preserve">б) изучает размещенную в системе жилищно-коммунального хозяйства информацию о деятельности лицензиата.</w:t>
      </w:r>
    </w:p>
    <w:p>
      <w:pPr>
        <w:pStyle w:val="0"/>
        <w:spacing w:before="200" w:line-rule="auto"/>
        <w:ind w:firstLine="540"/>
        <w:jc w:val="both"/>
      </w:pPr>
      <w:r>
        <w:rPr>
          <w:sz w:val="20"/>
        </w:rPr>
        <w:t xml:space="preserve">53. Выездное обследование проводится по месту нахождения (осуществления деятельности) лицензиата (его филиалов, представительств, обособленных структурных подразделений), месту нахождения объекта контроля.</w:t>
      </w:r>
    </w:p>
    <w:p>
      <w:pPr>
        <w:pStyle w:val="0"/>
        <w:spacing w:before="200" w:line-rule="auto"/>
        <w:ind w:firstLine="540"/>
        <w:jc w:val="both"/>
      </w:pPr>
      <w:r>
        <w:rPr>
          <w:sz w:val="20"/>
        </w:rPr>
        <w:t xml:space="preserve">В ходе выездного обследования могут осуществляться следующие контрольные (надзорные) мероприятия: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испытание.</w:t>
      </w:r>
    </w:p>
    <w:p>
      <w:pPr>
        <w:pStyle w:val="0"/>
        <w:spacing w:before="200" w:line-rule="auto"/>
        <w:ind w:firstLine="540"/>
        <w:jc w:val="both"/>
      </w:pPr>
      <w:r>
        <w:rPr>
          <w:sz w:val="20"/>
        </w:rPr>
        <w:t xml:space="preserve">Выездное обследование проводится без информирования лицензиата.</w:t>
      </w:r>
    </w:p>
    <w:p>
      <w:pPr>
        <w:pStyle w:val="0"/>
        <w:spacing w:before="200" w:line-rule="auto"/>
        <w:ind w:firstLine="540"/>
        <w:jc w:val="both"/>
      </w:pPr>
      <w:r>
        <w:rPr>
          <w:sz w:val="20"/>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pPr>
        <w:pStyle w:val="0"/>
        <w:spacing w:before="200" w:line-rule="auto"/>
        <w:ind w:firstLine="540"/>
        <w:jc w:val="both"/>
      </w:pPr>
      <w:r>
        <w:rPr>
          <w:sz w:val="20"/>
        </w:rPr>
        <w:t xml:space="preserve">54. Внеплановые контрольные (надзорные) мероприятия при осуществлении лицензионного контроля проводятся по основаниям, предусмотренным </w:t>
      </w:r>
      <w:hyperlink w:history="0" r:id="rId10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пунктами 1</w:t>
        </w:r>
      </w:hyperlink>
      <w:r>
        <w:rPr>
          <w:sz w:val="20"/>
        </w:rPr>
        <w:t xml:space="preserve">, </w:t>
      </w:r>
      <w:hyperlink w:history="0" r:id="rId10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3</w:t>
        </w:r>
      </w:hyperlink>
      <w:r>
        <w:rPr>
          <w:sz w:val="20"/>
        </w:rPr>
        <w:t xml:space="preserve"> - </w:t>
      </w:r>
      <w:hyperlink w:history="0" r:id="rId10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6 части 1 статьи 57</w:t>
        </w:r>
      </w:hyperlink>
      <w:r>
        <w:rPr>
          <w:sz w:val="20"/>
        </w:rPr>
        <w:t xml:space="preserve"> и </w:t>
      </w:r>
      <w:hyperlink w:history="0" r:id="rId10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частью 12 статьи 66</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55. Индивидуальный предприниматель, являющийся лицензиатом, вправе представить в лицензирующий орган информацию о невозможности присутствия при проведении контрольного (надзорного) мероприятия в случаях:</w:t>
      </w:r>
    </w:p>
    <w:p>
      <w:pPr>
        <w:pStyle w:val="0"/>
        <w:spacing w:before="200" w:line-rule="auto"/>
        <w:ind w:firstLine="540"/>
        <w:jc w:val="both"/>
      </w:pPr>
      <w:r>
        <w:rPr>
          <w:sz w:val="20"/>
        </w:rPr>
        <w:t xml:space="preserve">а) его временной нетрудоспособности;</w:t>
      </w:r>
    </w:p>
    <w:p>
      <w:pPr>
        <w:pStyle w:val="0"/>
        <w:spacing w:before="200" w:line-rule="auto"/>
        <w:ind w:firstLine="540"/>
        <w:jc w:val="both"/>
      </w:pPr>
      <w:r>
        <w:rPr>
          <w:sz w:val="20"/>
        </w:rPr>
        <w:t xml:space="preserve">б) нахождения его в служебной командировке или отпуске в ином населенном пункте.</w:t>
      </w:r>
    </w:p>
    <w:p>
      <w:pPr>
        <w:pStyle w:val="0"/>
        <w:spacing w:before="200" w:line-rule="auto"/>
        <w:ind w:firstLine="540"/>
        <w:jc w:val="both"/>
      </w:pPr>
      <w:r>
        <w:rPr>
          <w:sz w:val="20"/>
        </w:rPr>
        <w:t xml:space="preserve">56. По результатам рассмотрения представленной информации лицензирующим органом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информации о невозможности присутствия при проведении контрольного (надзорного) мероприятия.</w:t>
      </w:r>
    </w:p>
    <w:p>
      <w:pPr>
        <w:pStyle w:val="0"/>
        <w:spacing w:before="200" w:line-rule="auto"/>
        <w:ind w:firstLine="540"/>
        <w:jc w:val="both"/>
      </w:pPr>
      <w:r>
        <w:rPr>
          <w:sz w:val="20"/>
        </w:rPr>
        <w:t xml:space="preserve">57. При проведении выездной проверки или инспекционного визита должностные лица лицензирующего органа, уполномоченные на осуществление лицензионного контроля, для фиксации доказательств нарушений лицензионных требований могут использовать фотосъемку, аудио- и видеозапись.</w:t>
      </w:r>
    </w:p>
    <w:p>
      <w:pPr>
        <w:pStyle w:val="0"/>
        <w:spacing w:before="200" w:line-rule="auto"/>
        <w:ind w:firstLine="540"/>
        <w:jc w:val="both"/>
      </w:pPr>
      <w:r>
        <w:rPr>
          <w:sz w:val="20"/>
        </w:rPr>
        <w:t xml:space="preserve">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pPr>
        <w:pStyle w:val="0"/>
        <w:spacing w:before="200" w:line-rule="auto"/>
        <w:ind w:firstLine="540"/>
        <w:jc w:val="both"/>
      </w:pPr>
      <w:r>
        <w:rPr>
          <w:sz w:val="20"/>
        </w:rPr>
        <w:t xml:space="preserve">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w:t>
      </w:r>
    </w:p>
    <w:p>
      <w:pPr>
        <w:pStyle w:val="0"/>
        <w:spacing w:before="200" w:line-rule="auto"/>
        <w:ind w:firstLine="540"/>
        <w:jc w:val="both"/>
      </w:pPr>
      <w:r>
        <w:rPr>
          <w:sz w:val="20"/>
        </w:rPr>
        <w:t xml:space="preserve">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0"/>
        </w:rPr>
      </w:r>
    </w:p>
    <w:p>
      <w:pPr>
        <w:pStyle w:val="2"/>
        <w:outlineLvl w:val="1"/>
        <w:jc w:val="center"/>
      </w:pPr>
      <w:r>
        <w:rPr>
          <w:sz w:val="20"/>
        </w:rPr>
        <w:t xml:space="preserve">VI. Оформление результатов контрольного</w:t>
      </w:r>
    </w:p>
    <w:p>
      <w:pPr>
        <w:pStyle w:val="2"/>
        <w:jc w:val="center"/>
      </w:pPr>
      <w:r>
        <w:rPr>
          <w:sz w:val="20"/>
        </w:rPr>
        <w:t xml:space="preserve">(надзорного) мероприятия</w:t>
      </w:r>
    </w:p>
    <w:p>
      <w:pPr>
        <w:pStyle w:val="0"/>
        <w:jc w:val="center"/>
      </w:pPr>
      <w:r>
        <w:rPr>
          <w:sz w:val="20"/>
        </w:rPr>
        <w:t xml:space="preserve">(введен </w:t>
      </w:r>
      <w:hyperlink w:history="0" r:id="rId105"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58. Оформление результатов контрольного (надзорного) мероприятия осуществляется в соответствии со </w:t>
      </w:r>
      <w:hyperlink w:history="0" r:id="rId10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87</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59. По окончании проведения контрольного (надзорного) мероприятия, предусматривающего взаимодействие с лицензиатом, составляется акт.</w:t>
      </w:r>
    </w:p>
    <w:p>
      <w:pPr>
        <w:pStyle w:val="0"/>
        <w:spacing w:before="200" w:line-rule="auto"/>
        <w:ind w:firstLine="540"/>
        <w:jc w:val="both"/>
      </w:pPr>
      <w:r>
        <w:rPr>
          <w:sz w:val="20"/>
        </w:rPr>
        <w:t xml:space="preserve">60. Оформление акта производится на месте проведения контрольного (надзорного) мероприятия в день окончания проведения такого мероприятия.</w:t>
      </w:r>
    </w:p>
    <w:p>
      <w:pPr>
        <w:pStyle w:val="0"/>
        <w:spacing w:before="200" w:line-rule="auto"/>
        <w:ind w:firstLine="540"/>
        <w:jc w:val="both"/>
      </w:pPr>
      <w:r>
        <w:rPr>
          <w:sz w:val="20"/>
        </w:rPr>
        <w:t xml:space="preserve">61. При отказе или невозможности подписания лицензиатом или его представителем акта в акте делается соответствующая отметка. В этом случае акт направляется лицензиату в порядке, установленном </w:t>
      </w:r>
      <w:hyperlink w:history="0" r:id="rId10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62.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63. В случае выявления по результатам проведения контрольного (надзорного)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00" w:line-rule="auto"/>
        <w:ind w:firstLine="540"/>
        <w:jc w:val="both"/>
      </w:pPr>
      <w:r>
        <w:rPr>
          <w:sz w:val="20"/>
        </w:rPr>
        <w:t xml:space="preserve">64. Лицензиат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r:id="rId10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частью 2 статьи 88</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0"/>
        </w:rPr>
      </w:r>
    </w:p>
    <w:p>
      <w:pPr>
        <w:pStyle w:val="2"/>
        <w:outlineLvl w:val="1"/>
        <w:jc w:val="center"/>
      </w:pPr>
      <w:r>
        <w:rPr>
          <w:sz w:val="20"/>
        </w:rPr>
        <w:t xml:space="preserve">VII. Порядок обжалования решений лицензирующего органов,</w:t>
      </w:r>
    </w:p>
    <w:p>
      <w:pPr>
        <w:pStyle w:val="2"/>
        <w:jc w:val="center"/>
      </w:pPr>
      <w:r>
        <w:rPr>
          <w:sz w:val="20"/>
        </w:rPr>
        <w:t xml:space="preserve">действий (бездействия) должностных лиц при осуществлении</w:t>
      </w:r>
    </w:p>
    <w:p>
      <w:pPr>
        <w:pStyle w:val="2"/>
        <w:jc w:val="center"/>
      </w:pPr>
      <w:r>
        <w:rPr>
          <w:sz w:val="20"/>
        </w:rPr>
        <w:t xml:space="preserve">лицензионного контроля</w:t>
      </w:r>
    </w:p>
    <w:p>
      <w:pPr>
        <w:pStyle w:val="0"/>
        <w:jc w:val="center"/>
      </w:pPr>
      <w:r>
        <w:rPr>
          <w:sz w:val="20"/>
        </w:rPr>
        <w:t xml:space="preserve">(введен </w:t>
      </w:r>
      <w:hyperlink w:history="0" r:id="rId109"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05.02.2022 N 117)</w:t>
      </w:r>
    </w:p>
    <w:p>
      <w:pPr>
        <w:pStyle w:val="0"/>
        <w:jc w:val="center"/>
      </w:pPr>
      <w:r>
        <w:rPr>
          <w:sz w:val="20"/>
        </w:rPr>
      </w:r>
    </w:p>
    <w:p>
      <w:pPr>
        <w:pStyle w:val="0"/>
        <w:ind w:firstLine="540"/>
        <w:jc w:val="both"/>
      </w:pPr>
      <w:r>
        <w:rPr>
          <w:sz w:val="20"/>
        </w:rPr>
        <w:t xml:space="preserve">65. Правом на досудебное обжалование решений лицензирующего органа, актов, действий (бездействия) должностных лиц лицензирующего органа в рамках контрольных (надзорных) мероприятий обладают лицензиаты, указанные в </w:t>
      </w:r>
      <w:hyperlink w:history="0" r:id="rId11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части 4 статьи 40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66. Жалоба на решение территориального органа лицензирующего органа, действия (бездействие) его должностных лиц рассматривается руководителем (заместителем руководителя) территориального органа либо лицензирующего органа.</w:t>
      </w:r>
    </w:p>
    <w:p>
      <w:pPr>
        <w:pStyle w:val="0"/>
        <w:spacing w:before="200" w:line-rule="auto"/>
        <w:ind w:firstLine="540"/>
        <w:jc w:val="both"/>
      </w:pPr>
      <w:r>
        <w:rPr>
          <w:sz w:val="20"/>
        </w:rPr>
        <w:t xml:space="preserve">Жалоба на действия (бездействие) руководителя (заместителя руководителя) территориального органа лицензирующего органа рассматривается вышестоящим лицензирующим органом.</w:t>
      </w:r>
    </w:p>
    <w:p>
      <w:pPr>
        <w:pStyle w:val="0"/>
        <w:spacing w:before="200" w:line-rule="auto"/>
        <w:ind w:firstLine="540"/>
        <w:jc w:val="both"/>
      </w:pPr>
      <w:r>
        <w:rPr>
          <w:sz w:val="20"/>
        </w:rPr>
        <w:t xml:space="preserve">Жалоба на решение, действия (бездействие) должностного лица лицензирующего органа рассматривается руководителем лицензирующего органа.</w:t>
      </w:r>
    </w:p>
    <w:p>
      <w:pPr>
        <w:pStyle w:val="0"/>
        <w:spacing w:before="200" w:line-rule="auto"/>
        <w:ind w:firstLine="540"/>
        <w:jc w:val="both"/>
      </w:pPr>
      <w:r>
        <w:rPr>
          <w:sz w:val="20"/>
        </w:rPr>
        <w:t xml:space="preserve">67. Жалоба на решение лицензирующего органа и его территориальных органов, действия (бездействие) их должностных лиц может быть подана в течение 30 календарных дней со дня, когда лицензиат узнал или должен был узнать о нарушении своих прав.</w:t>
      </w:r>
    </w:p>
    <w:p>
      <w:pPr>
        <w:pStyle w:val="0"/>
        <w:spacing w:before="200" w:line-rule="auto"/>
        <w:ind w:firstLine="540"/>
        <w:jc w:val="both"/>
      </w:pPr>
      <w:r>
        <w:rPr>
          <w:sz w:val="20"/>
        </w:rPr>
        <w:t xml:space="preserve">68. Жалоба на предписание лицензирующего органа может быть подана в течение 10 рабочих дней с момента получения лицензиатом предписания.</w:t>
      </w:r>
    </w:p>
    <w:p>
      <w:pPr>
        <w:pStyle w:val="0"/>
        <w:spacing w:before="200" w:line-rule="auto"/>
        <w:ind w:firstLine="540"/>
        <w:jc w:val="both"/>
      </w:pPr>
      <w:r>
        <w:rPr>
          <w:sz w:val="20"/>
        </w:rPr>
        <w:t xml:space="preserve">69. В случае пропуска по уважительной причине срока подачи жалобы указанный срок по ходатайству лица, подающего жалобу, может быть восстановлен лицензирующим органом, уполномоченным на рассмотрение жалобы.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лицензировании</w:t>
      </w:r>
    </w:p>
    <w:p>
      <w:pPr>
        <w:pStyle w:val="0"/>
        <w:jc w:val="right"/>
      </w:pPr>
      <w:r>
        <w:rPr>
          <w:sz w:val="20"/>
        </w:rPr>
        <w:t xml:space="preserve">предпринимательской деятельности</w:t>
      </w:r>
    </w:p>
    <w:p>
      <w:pPr>
        <w:pStyle w:val="0"/>
        <w:jc w:val="right"/>
      </w:pPr>
      <w:r>
        <w:rPr>
          <w:sz w:val="20"/>
        </w:rPr>
        <w:t xml:space="preserve">по управлению многоквартирными домами</w:t>
      </w:r>
    </w:p>
    <w:p>
      <w:pPr>
        <w:pStyle w:val="0"/>
        <w:jc w:val="right"/>
      </w:pPr>
      <w:r>
        <w:rPr>
          <w:sz w:val="20"/>
        </w:rPr>
        <w:t xml:space="preserve">и об осуществлении регионального</w:t>
      </w:r>
    </w:p>
    <w:p>
      <w:pPr>
        <w:pStyle w:val="0"/>
        <w:jc w:val="right"/>
      </w:pPr>
      <w:r>
        <w:rPr>
          <w:sz w:val="20"/>
        </w:rPr>
        <w:t xml:space="preserve">государственного лицензионного контроля</w:t>
      </w:r>
    </w:p>
    <w:p>
      <w:pPr>
        <w:pStyle w:val="0"/>
        <w:jc w:val="right"/>
      </w:pPr>
      <w:r>
        <w:rPr>
          <w:sz w:val="20"/>
        </w:rPr>
        <w:t xml:space="preserve">за осуществлением предпринимательской</w:t>
      </w:r>
    </w:p>
    <w:p>
      <w:pPr>
        <w:pStyle w:val="0"/>
        <w:jc w:val="right"/>
      </w:pPr>
      <w:r>
        <w:rPr>
          <w:sz w:val="20"/>
        </w:rPr>
        <w:t xml:space="preserve">деятельности по управлению</w:t>
      </w:r>
    </w:p>
    <w:p>
      <w:pPr>
        <w:pStyle w:val="0"/>
        <w:jc w:val="right"/>
      </w:pPr>
      <w:r>
        <w:rPr>
          <w:sz w:val="20"/>
        </w:rPr>
        <w:t xml:space="preserve">многоквартирными домами</w:t>
      </w:r>
    </w:p>
    <w:p>
      <w:pPr>
        <w:pStyle w:val="0"/>
        <w:jc w:val="both"/>
      </w:pPr>
      <w:r>
        <w:rPr>
          <w:sz w:val="20"/>
        </w:rPr>
      </w:r>
    </w:p>
    <w:bookmarkStart w:id="307" w:name="P307"/>
    <w:bookmarkEnd w:id="307"/>
    <w:p>
      <w:pPr>
        <w:pStyle w:val="2"/>
        <w:jc w:val="center"/>
      </w:pPr>
      <w:r>
        <w:rPr>
          <w:sz w:val="20"/>
        </w:rPr>
        <w:t xml:space="preserve">КРИТЕРИИ</w:t>
      </w:r>
    </w:p>
    <w:p>
      <w:pPr>
        <w:pStyle w:val="2"/>
        <w:jc w:val="center"/>
      </w:pPr>
      <w:r>
        <w:rPr>
          <w:sz w:val="20"/>
        </w:rPr>
        <w:t xml:space="preserve">ОТНЕСЕНИЯ ОБЪЕКТОВ ЛИЦЕНЗИОННОГО КОНТРОЛЯ К КАТЕГОРИЯМ РИСКА</w:t>
      </w:r>
    </w:p>
    <w:p>
      <w:pPr>
        <w:pStyle w:val="2"/>
        <w:jc w:val="center"/>
      </w:pPr>
      <w:r>
        <w:rPr>
          <w:sz w:val="20"/>
        </w:rPr>
        <w:t xml:space="preserve">ПРИЧИНЕНИЯ ВРЕДА (УЩЕРБА) ОХРАНЯЕМЫМ ЗАКОНОМ ЦЕННОСТЯМ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11" w:tooltip="Постановление Правительства РФ от 05.02.2022 N 117 &quot;О внесении изменений в постановление Правительства Российской Федерации от 28 октября 2014 г. N 1110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05.02.2022 N 117)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тяжести и масштабу потенциальных негативных последствий несоблюдения юридическими лицами 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лицензиаты), лицензионных требований деятельность лицензиатов разделяется на группы тяжести "А" или "Б".</w:t>
      </w:r>
    </w:p>
    <w:p>
      <w:pPr>
        <w:pStyle w:val="0"/>
        <w:spacing w:before="200" w:line-rule="auto"/>
        <w:ind w:firstLine="540"/>
        <w:jc w:val="both"/>
      </w:pPr>
      <w:r>
        <w:rPr>
          <w:sz w:val="20"/>
        </w:rPr>
        <w:t xml:space="preserve">К группе тяжести "А" относится деятельность лицензиатов по управлению многоквартирными домами, оборудованными лифтами и (или) централизованной системой газоснабжения, в том числе многоквартирными домами, в которых для производства услуг по горячему водоснабжению и (или) теплоснабжению используется газ.</w:t>
      </w:r>
    </w:p>
    <w:p>
      <w:pPr>
        <w:pStyle w:val="0"/>
        <w:spacing w:before="200" w:line-rule="auto"/>
        <w:ind w:firstLine="540"/>
        <w:jc w:val="both"/>
      </w:pPr>
      <w:r>
        <w:rPr>
          <w:sz w:val="20"/>
        </w:rPr>
        <w:t xml:space="preserve">В иных случаях деятельность лицензиатов относится к группе тяжести "Б".</w:t>
      </w:r>
    </w:p>
    <w:p>
      <w:pPr>
        <w:pStyle w:val="0"/>
        <w:spacing w:before="200" w:line-rule="auto"/>
        <w:ind w:firstLine="540"/>
        <w:jc w:val="both"/>
      </w:pPr>
      <w:r>
        <w:rPr>
          <w:sz w:val="20"/>
        </w:rPr>
        <w:t xml:space="preserve">С учетом оценки вероятности несоблюдения лицензиатами лицензионных требований деятельность, подлежащая лицензионному контролю, разделяется на группы вероятности "1" или "2".</w:t>
      </w:r>
    </w:p>
    <w:p>
      <w:pPr>
        <w:pStyle w:val="0"/>
        <w:spacing w:before="200" w:line-rule="auto"/>
        <w:ind w:firstLine="540"/>
        <w:jc w:val="both"/>
      </w:pPr>
      <w:r>
        <w:rPr>
          <w:sz w:val="20"/>
        </w:rPr>
        <w:t xml:space="preserve">К группе вероятности "1"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(ущерба) охраняемым законом ценностям постановления о назначении административного наказания лицензиату - юридическому лицу, его должностным лицам или лицензиату - индивидуальному предпринимателю за совершение административных правонарушений, предусмотренных </w:t>
      </w:r>
      <w:hyperlink w:history="0" r:id="rId112"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частями 2</w:t>
        </w:r>
      </w:hyperlink>
      <w:r>
        <w:rPr>
          <w:sz w:val="20"/>
        </w:rPr>
        <w:t xml:space="preserve"> и </w:t>
      </w:r>
      <w:hyperlink w:history="0" r:id="rId113"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3 статьи 14.1.3</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К группе вероятности "2" относится деятельность лицензиатов, у которых в течение последних 3 лет при проведении планового или внепланового контрольного (надзорного) мероприятия не были выявлены нарушения лицензионных требований, а также выявленные нарушения лицензионных требований устранены.</w:t>
      </w:r>
    </w:p>
    <w:p>
      <w:pPr>
        <w:pStyle w:val="0"/>
        <w:spacing w:before="200" w:line-rule="auto"/>
        <w:ind w:firstLine="540"/>
        <w:jc w:val="both"/>
      </w:pPr>
      <w:r>
        <w:rPr>
          <w:sz w:val="20"/>
        </w:rPr>
        <w:t xml:space="preserve">Отнесение деятельности лицензиатов к определенной категории риска основывается на соотнесении группы тяжести и группы вероятности.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022"/>
        <w:gridCol w:w="3022"/>
        <w:gridCol w:w="3022"/>
      </w:tblGrid>
      <w:tr>
        <w:tblPrEx>
          <w:tblBorders>
            <w:insideV w:val="single" w:sz="4"/>
            <w:insideH w:val="single" w:sz="4"/>
          </w:tblBorders>
        </w:tblPrEx>
        <w:tc>
          <w:tcPr>
            <w:tcW w:w="3022" w:type="dxa"/>
            <w:vAlign w:val="bottom"/>
            <w:tcBorders>
              <w:top w:val="single" w:sz="4"/>
              <w:left w:val="nil"/>
              <w:bottom w:val="single" w:sz="4"/>
            </w:tcBorders>
          </w:tcPr>
          <w:p>
            <w:pPr>
              <w:pStyle w:val="0"/>
              <w:jc w:val="center"/>
            </w:pPr>
            <w:r>
              <w:rPr>
                <w:sz w:val="20"/>
              </w:rPr>
              <w:t xml:space="preserve">Категория риска</w:t>
            </w:r>
          </w:p>
        </w:tc>
        <w:tc>
          <w:tcPr>
            <w:tcW w:w="3022" w:type="dxa"/>
            <w:vAlign w:val="bottom"/>
            <w:tcBorders>
              <w:top w:val="single" w:sz="4"/>
              <w:bottom w:val="single" w:sz="4"/>
            </w:tcBorders>
          </w:tcPr>
          <w:p>
            <w:pPr>
              <w:pStyle w:val="0"/>
              <w:jc w:val="center"/>
            </w:pPr>
            <w:r>
              <w:rPr>
                <w:sz w:val="20"/>
              </w:rPr>
              <w:t xml:space="preserve">Группа тяжести</w:t>
            </w:r>
          </w:p>
        </w:tc>
        <w:tc>
          <w:tcPr>
            <w:tcW w:w="3022" w:type="dxa"/>
            <w:vAlign w:val="bottom"/>
            <w:tcBorders>
              <w:top w:val="single" w:sz="4"/>
              <w:bottom w:val="single" w:sz="4"/>
              <w:right w:val="nil"/>
            </w:tcBorders>
          </w:tcPr>
          <w:p>
            <w:pPr>
              <w:pStyle w:val="0"/>
              <w:jc w:val="center"/>
            </w:pPr>
            <w:r>
              <w:rPr>
                <w:sz w:val="20"/>
              </w:rPr>
              <w:t xml:space="preserve">Группа вероятности</w:t>
            </w:r>
          </w:p>
        </w:tc>
      </w:tr>
      <w:tr>
        <w:tc>
          <w:tcPr>
            <w:tcW w:w="3022" w:type="dxa"/>
            <w:vAlign w:val="center"/>
            <w:tcBorders>
              <w:top w:val="single" w:sz="4"/>
              <w:left w:val="nil"/>
              <w:bottom w:val="nil"/>
              <w:right w:val="nil"/>
            </w:tcBorders>
          </w:tcPr>
          <w:p>
            <w:pPr>
              <w:pStyle w:val="0"/>
            </w:pPr>
            <w:r>
              <w:rPr>
                <w:sz w:val="20"/>
              </w:rPr>
              <w:t xml:space="preserve">Высокий</w:t>
            </w:r>
          </w:p>
        </w:tc>
        <w:tc>
          <w:tcPr>
            <w:tcW w:w="3022" w:type="dxa"/>
            <w:vAlign w:val="center"/>
            <w:tcBorders>
              <w:top w:val="single" w:sz="4"/>
              <w:left w:val="nil"/>
              <w:bottom w:val="nil"/>
              <w:right w:val="nil"/>
            </w:tcBorders>
          </w:tcPr>
          <w:p>
            <w:pPr>
              <w:pStyle w:val="0"/>
              <w:jc w:val="center"/>
            </w:pPr>
            <w:r>
              <w:rPr>
                <w:sz w:val="20"/>
              </w:rPr>
              <w:t xml:space="preserve">А</w:t>
            </w:r>
          </w:p>
        </w:tc>
        <w:tc>
          <w:tcPr>
            <w:tcW w:w="3022" w:type="dxa"/>
            <w:vAlign w:val="bottom"/>
            <w:tcBorders>
              <w:top w:val="single" w:sz="4"/>
              <w:left w:val="nil"/>
              <w:bottom w:val="nil"/>
              <w:right w:val="nil"/>
            </w:tcBorders>
          </w:tcPr>
          <w:p>
            <w:pPr>
              <w:pStyle w:val="0"/>
              <w:jc w:val="center"/>
            </w:pPr>
            <w:r>
              <w:rPr>
                <w:sz w:val="20"/>
              </w:rPr>
              <w:t xml:space="preserve">1</w:t>
            </w:r>
          </w:p>
        </w:tc>
      </w:tr>
      <w:tr>
        <w:tc>
          <w:tcPr>
            <w:tcW w:w="3022" w:type="dxa"/>
            <w:vAlign w:val="center"/>
            <w:tcBorders>
              <w:top w:val="nil"/>
              <w:left w:val="nil"/>
              <w:bottom w:val="nil"/>
              <w:right w:val="nil"/>
            </w:tcBorders>
          </w:tcPr>
          <w:p>
            <w:pPr>
              <w:pStyle w:val="0"/>
            </w:pPr>
            <w:r>
              <w:rPr>
                <w:sz w:val="20"/>
              </w:rPr>
              <w:t xml:space="preserve">Средний</w:t>
            </w:r>
          </w:p>
        </w:tc>
        <w:tc>
          <w:tcPr>
            <w:tcW w:w="3022" w:type="dxa"/>
            <w:vAlign w:val="center"/>
            <w:tcBorders>
              <w:top w:val="nil"/>
              <w:left w:val="nil"/>
              <w:bottom w:val="nil"/>
              <w:right w:val="nil"/>
            </w:tcBorders>
          </w:tcPr>
          <w:p>
            <w:pPr>
              <w:pStyle w:val="0"/>
              <w:jc w:val="center"/>
            </w:pPr>
            <w:r>
              <w:rPr>
                <w:sz w:val="20"/>
              </w:rPr>
              <w:t xml:space="preserve">А</w:t>
            </w:r>
          </w:p>
        </w:tc>
        <w:tc>
          <w:tcPr>
            <w:tcW w:w="3022" w:type="dxa"/>
            <w:vAlign w:val="center"/>
            <w:tcBorders>
              <w:top w:val="nil"/>
              <w:left w:val="nil"/>
              <w:bottom w:val="nil"/>
              <w:right w:val="nil"/>
            </w:tcBorders>
          </w:tcPr>
          <w:p>
            <w:pPr>
              <w:pStyle w:val="0"/>
              <w:jc w:val="center"/>
            </w:pPr>
            <w:r>
              <w:rPr>
                <w:sz w:val="20"/>
              </w:rPr>
              <w:t xml:space="preserve">2</w:t>
            </w:r>
          </w:p>
        </w:tc>
      </w:tr>
      <w:tr>
        <w:tc>
          <w:tcPr>
            <w:tcW w:w="3022" w:type="dxa"/>
            <w:vAlign w:val="center"/>
            <w:tcBorders>
              <w:top w:val="nil"/>
              <w:left w:val="nil"/>
              <w:bottom w:val="nil"/>
              <w:right w:val="nil"/>
            </w:tcBorders>
          </w:tcPr>
          <w:p>
            <w:pPr>
              <w:pStyle w:val="0"/>
            </w:pPr>
            <w:r>
              <w:rPr>
                <w:sz w:val="20"/>
              </w:rPr>
              <w:t xml:space="preserve">Умеренный</w:t>
            </w:r>
          </w:p>
        </w:tc>
        <w:tc>
          <w:tcPr>
            <w:tcW w:w="3022" w:type="dxa"/>
            <w:vAlign w:val="center"/>
            <w:tcBorders>
              <w:top w:val="nil"/>
              <w:left w:val="nil"/>
              <w:bottom w:val="nil"/>
              <w:right w:val="nil"/>
            </w:tcBorders>
          </w:tcPr>
          <w:p>
            <w:pPr>
              <w:pStyle w:val="0"/>
              <w:jc w:val="center"/>
            </w:pPr>
            <w:r>
              <w:rPr>
                <w:sz w:val="20"/>
              </w:rPr>
              <w:t xml:space="preserve">Б</w:t>
            </w:r>
          </w:p>
        </w:tc>
        <w:tc>
          <w:tcPr>
            <w:tcW w:w="3022" w:type="dxa"/>
            <w:vAlign w:val="center"/>
            <w:tcBorders>
              <w:top w:val="nil"/>
              <w:left w:val="nil"/>
              <w:bottom w:val="nil"/>
              <w:right w:val="nil"/>
            </w:tcBorders>
          </w:tcPr>
          <w:p>
            <w:pPr>
              <w:pStyle w:val="0"/>
              <w:jc w:val="center"/>
            </w:pPr>
            <w:r>
              <w:rPr>
                <w:sz w:val="20"/>
              </w:rPr>
              <w:t xml:space="preserve">1</w:t>
            </w:r>
          </w:p>
        </w:tc>
      </w:tr>
      <w:tr>
        <w:tc>
          <w:tcPr>
            <w:tcW w:w="3022" w:type="dxa"/>
            <w:vAlign w:val="bottom"/>
            <w:tcBorders>
              <w:top w:val="nil"/>
              <w:left w:val="nil"/>
              <w:bottom w:val="single" w:sz="4"/>
              <w:right w:val="nil"/>
            </w:tcBorders>
          </w:tcPr>
          <w:p>
            <w:pPr>
              <w:pStyle w:val="0"/>
            </w:pPr>
            <w:r>
              <w:rPr>
                <w:sz w:val="20"/>
              </w:rPr>
              <w:t xml:space="preserve">Низкий</w:t>
            </w:r>
          </w:p>
        </w:tc>
        <w:tc>
          <w:tcPr>
            <w:tcW w:w="3022" w:type="dxa"/>
            <w:vAlign w:val="bottom"/>
            <w:tcBorders>
              <w:top w:val="nil"/>
              <w:left w:val="nil"/>
              <w:bottom w:val="single" w:sz="4"/>
              <w:right w:val="nil"/>
            </w:tcBorders>
          </w:tcPr>
          <w:p>
            <w:pPr>
              <w:pStyle w:val="0"/>
              <w:jc w:val="center"/>
            </w:pPr>
            <w:r>
              <w:rPr>
                <w:sz w:val="20"/>
              </w:rPr>
              <w:t xml:space="preserve">Б</w:t>
            </w:r>
          </w:p>
        </w:tc>
        <w:tc>
          <w:tcPr>
            <w:tcW w:w="3022" w:type="dxa"/>
            <w:vAlign w:val="bottom"/>
            <w:tcBorders>
              <w:top w:val="nil"/>
              <w:left w:val="nil"/>
              <w:bottom w:val="single" w:sz="4"/>
              <w:right w:val="nil"/>
            </w:tcBorders>
          </w:tcPr>
          <w:p>
            <w:pPr>
              <w:pStyle w:val="0"/>
              <w:jc w:val="center"/>
            </w:pPr>
            <w:r>
              <w:rPr>
                <w:sz w:val="20"/>
              </w:rPr>
              <w:t xml:space="preserve">2</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28 октября 2014 г. N 1110</w:t>
      </w:r>
    </w:p>
    <w:p>
      <w:pPr>
        <w:pStyle w:val="0"/>
        <w:jc w:val="center"/>
      </w:pPr>
      <w:r>
        <w:rPr>
          <w:sz w:val="20"/>
        </w:rPr>
      </w:r>
    </w:p>
    <w:bookmarkStart w:id="346" w:name="P346"/>
    <w:bookmarkEnd w:id="346"/>
    <w:p>
      <w:pPr>
        <w:pStyle w:val="2"/>
        <w:jc w:val="center"/>
      </w:pPr>
      <w:r>
        <w:rPr>
          <w:sz w:val="20"/>
        </w:rPr>
        <w:t xml:space="preserve">ПОЛОЖЕНИЕ</w:t>
      </w:r>
    </w:p>
    <w:p>
      <w:pPr>
        <w:pStyle w:val="2"/>
        <w:jc w:val="center"/>
      </w:pPr>
      <w:r>
        <w:rPr>
          <w:sz w:val="20"/>
        </w:rPr>
        <w:t xml:space="preserve">О ВЕДЕНИИ РЕЕСТРА ЛИЦ, ОСУЩЕСТВЛЯВШИХ ФУНКЦИИ</w:t>
      </w:r>
    </w:p>
    <w:p>
      <w:pPr>
        <w:pStyle w:val="2"/>
        <w:jc w:val="center"/>
      </w:pPr>
      <w:r>
        <w:rPr>
          <w:sz w:val="20"/>
        </w:rPr>
        <w:t xml:space="preserve">ЕДИНОЛИЧНОГО ИСПОЛНИТЕЛЬНОГО ОРГАНА ЛИЦЕНЗИАТА, ЛИЦЕНЗИЯ</w:t>
      </w:r>
    </w:p>
    <w:p>
      <w:pPr>
        <w:pStyle w:val="2"/>
        <w:jc w:val="center"/>
      </w:pPr>
      <w:r>
        <w:rPr>
          <w:sz w:val="20"/>
        </w:rPr>
        <w:t xml:space="preserve">КОТОРОГО АННУЛИРОВАНА, А ТАКЖЕ ЛИЦ, НА КОТОРЫХ УСТАВОМ</w:t>
      </w:r>
    </w:p>
    <w:p>
      <w:pPr>
        <w:pStyle w:val="2"/>
        <w:jc w:val="center"/>
      </w:pPr>
      <w:r>
        <w:rPr>
          <w:sz w:val="20"/>
        </w:rPr>
        <w:t xml:space="preserve">ИЛИ ИНЫМИ ДОКУМЕНТАМИ ЛИЦЕНЗИАТА ВОЗЛОЖЕНА ОТВЕТСТВЕННОСТЬ</w:t>
      </w:r>
    </w:p>
    <w:p>
      <w:pPr>
        <w:pStyle w:val="2"/>
        <w:jc w:val="center"/>
      </w:pPr>
      <w:r>
        <w:rPr>
          <w:sz w:val="20"/>
        </w:rPr>
        <w:t xml:space="preserve">ЗА СОБЛЮДЕНИЕ ТРЕБОВАНИЙ К ОБЕСПЕЧЕНИЮ НАДЛЕЖАЩЕГО</w:t>
      </w:r>
    </w:p>
    <w:p>
      <w:pPr>
        <w:pStyle w:val="2"/>
        <w:jc w:val="center"/>
      </w:pPr>
      <w:r>
        <w:rPr>
          <w:sz w:val="20"/>
        </w:rPr>
        <w:t xml:space="preserve">СОДЕРЖАНИЯ ОБЩЕГО ИМУЩЕСТВА В МНОГОКВАРТИРНОМ ДОМЕ</w:t>
      </w:r>
    </w:p>
    <w:p>
      <w:pPr>
        <w:pStyle w:val="2"/>
        <w:jc w:val="center"/>
      </w:pPr>
      <w:r>
        <w:rPr>
          <w:sz w:val="20"/>
        </w:rPr>
        <w:t xml:space="preserve">И В ОТНОШЕНИИ КОТОРЫХ ПРИМЕНЕНО АДМИНИСТРАТИВНОЕ НАКАЗАНИЕ</w:t>
      </w:r>
    </w:p>
    <w:p>
      <w:pPr>
        <w:pStyle w:val="2"/>
        <w:jc w:val="center"/>
      </w:pPr>
      <w:r>
        <w:rPr>
          <w:sz w:val="20"/>
        </w:rPr>
        <w:t xml:space="preserve">В ВИДЕ ДИСКВАЛИФИКАЦИИ, ИНДИВИДУАЛЬНЫХ ПРЕДПРИНИМАТЕЛЕЙ,</w:t>
      </w:r>
    </w:p>
    <w:p>
      <w:pPr>
        <w:pStyle w:val="2"/>
        <w:jc w:val="center"/>
      </w:pPr>
      <w:r>
        <w:rPr>
          <w:sz w:val="20"/>
        </w:rPr>
        <w:t xml:space="preserve">ЛИЦЕНЗИЯ КОТОРЫХ АННУЛИРОВАНА И (ИЛИ) В ОТНОШЕНИИ КОТОРЫХ</w:t>
      </w:r>
    </w:p>
    <w:p>
      <w:pPr>
        <w:pStyle w:val="2"/>
        <w:jc w:val="center"/>
      </w:pPr>
      <w:r>
        <w:rPr>
          <w:sz w:val="20"/>
        </w:rPr>
        <w:t xml:space="preserve">ПРИМЕНЕНО АДМИНИСТРАТИВНОЕ НАКАЗАНИЕ В ВИДЕ ДИСКВАЛИФИКАЦИИ</w:t>
      </w:r>
    </w:p>
    <w:p>
      <w:pPr>
        <w:pStyle w:val="0"/>
        <w:jc w:val="center"/>
      </w:pPr>
      <w:r>
        <w:rPr>
          <w:sz w:val="20"/>
        </w:rPr>
      </w:r>
    </w:p>
    <w:p>
      <w:pPr>
        <w:pStyle w:val="0"/>
        <w:ind w:firstLine="540"/>
        <w:jc w:val="both"/>
      </w:pPr>
      <w:r>
        <w:rPr>
          <w:sz w:val="20"/>
        </w:rPr>
        <w:t xml:space="preserve">1. Настоящее Положение устанавливает порядок ведения реестра лиц, осуществлявших функции единоличного исполнительного органа лицензиата, лицензия на осуществление предпринимательской деятельности по управлению многоквартирными домами (далее -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управляющих организаций).</w:t>
      </w:r>
    </w:p>
    <w:p>
      <w:pPr>
        <w:pStyle w:val="0"/>
        <w:spacing w:before="200" w:line-rule="auto"/>
        <w:ind w:firstLine="540"/>
        <w:jc w:val="both"/>
      </w:pPr>
      <w:r>
        <w:rPr>
          <w:sz w:val="20"/>
        </w:rPr>
        <w:t xml:space="preserve">2. Реестр дисквалифицированных лиц управляющих организаций является общедоступным и открытым, формируется и ведется Министерством строительства и жилищно-коммунального хозяйства Российской Федерации на официальном сайте Министерства в информационно-телекоммуникационной сети "Интернет", а с 1 мая 2015 г. - в государственной информационной </w:t>
      </w:r>
      <w:hyperlink w:history="0" r:id="rId114" w:tooltip="Приказ Минкомсвязи России N 504, Минстроя России N 934/пр от 30.12.2014 &quot;Об определении официального сайта государственной информационной системы жилищно-коммунального хозяйства в информационно-телекоммуникационной сети &quot;Интернет&quot; (Зарегистрировано в Минюсте России 20.02.2015 N 36121) {КонсультантПлюс}">
        <w:r>
          <w:rPr>
            <w:sz w:val="20"/>
            <w:color w:val="0000ff"/>
          </w:rPr>
          <w:t xml:space="preserve">системе</w:t>
        </w:r>
      </w:hyperlink>
      <w:r>
        <w:rPr>
          <w:sz w:val="20"/>
        </w:rPr>
        <w:t xml:space="preserve"> жилищно-коммунального хозяйства.</w:t>
      </w:r>
    </w:p>
    <w:p>
      <w:pPr>
        <w:pStyle w:val="0"/>
        <w:spacing w:before="200" w:line-rule="auto"/>
        <w:ind w:firstLine="540"/>
        <w:jc w:val="both"/>
      </w:pPr>
      <w:r>
        <w:rPr>
          <w:sz w:val="20"/>
        </w:rPr>
        <w:t xml:space="preserve">3.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 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 предусмотренного </w:t>
      </w:r>
      <w:hyperlink w:history="0" w:anchor="P373" w:tooltip="10. Сведения, внесенные в реестр дисквалифицированных лиц управляющих организаций, должны содержаться в реестре дисквалифицированных лиц управляющих организаций в течение 3 лет со дня их внесения.">
        <w:r>
          <w:rPr>
            <w:sz w:val="20"/>
            <w:color w:val="0000ff"/>
          </w:rPr>
          <w:t xml:space="preserve">пунктом 10</w:t>
        </w:r>
      </w:hyperlink>
      <w:r>
        <w:rPr>
          <w:sz w:val="20"/>
        </w:rPr>
        <w:t xml:space="preserve"> настоящего Положения,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w:t>
      </w:r>
    </w:p>
    <w:p>
      <w:pPr>
        <w:pStyle w:val="0"/>
        <w:spacing w:before="200" w:line-rule="auto"/>
        <w:ind w:firstLine="540"/>
        <w:jc w:val="both"/>
      </w:pPr>
      <w:r>
        <w:rPr>
          <w:sz w:val="20"/>
        </w:rPr>
        <w:t xml:space="preserve">4. В случае вступления в законную силу решения суда об отмене решения суда об аннулировании лицензии (об отмене постановления о дисквалификации или об изменении вида административного наказания) лицо, сведения о котором внесены в реестр дисквалифицированных лиц управляющих организаций, вправе направить в Министерство строительства и жилищно-коммунального хозяйства Российской Федерации заявление об исключении сведений о нем из реестра дисквалифицированных лиц управляющих организаций. Указанное заявление должно содержать сведения о наименовании суда, основаниях, дате вынесения решения об отмене решения суда об аннулировании лицензии (об отмене постановления о дисквалификации или об изменении вида административного наказания) и подлежит направлению заказным почтовым отправлением с уведомлением о вручении или в форме электронного документа, подписанного электронной подписью. Министерство строительства и жилищно-коммунального хозяйства Российской Федерации осуществляет проверку сведений, содержащихся в указанном заявлении, в течение 10 рабочих дней со дня его поступления, в том числе путем направления запроса в суд, вынесший решение, сведения о котором указаны в этом заявлении, и при подтверждении их достоверности исключает сведения о таком лице из реестра дисквалифицированных лиц управляющих организаций.</w:t>
      </w:r>
    </w:p>
    <w:p>
      <w:pPr>
        <w:pStyle w:val="0"/>
        <w:spacing w:before="200" w:line-rule="auto"/>
        <w:ind w:firstLine="540"/>
        <w:jc w:val="both"/>
      </w:pPr>
      <w:r>
        <w:rPr>
          <w:sz w:val="20"/>
        </w:rPr>
        <w:t xml:space="preserve">5. В целях ведения реестра дисквалифицированных лиц управляющих организаций Министерство строительства и жилищно-коммунального хозяйства Российской Федерации получает сведения о вступивших в законную силу решениях суда об аннулировании лицензии и о постановлениях о дисквалификации, указанные в </w:t>
      </w:r>
      <w:hyperlink w:history="0" w:anchor="P366" w:tooltip="9. В реестре дисквалифицированных лиц управляющих организаций указываются следующие сведения:">
        <w:r>
          <w:rPr>
            <w:sz w:val="20"/>
            <w:color w:val="0000ff"/>
          </w:rPr>
          <w:t xml:space="preserve">пункте 9</w:t>
        </w:r>
      </w:hyperlink>
      <w:r>
        <w:rPr>
          <w:sz w:val="20"/>
        </w:rPr>
        <w:t xml:space="preserve"> настоящего Положения, у органов государственного жилищного надзора. Указанные сведения представляются органом государственного жилищного надзора не позднее 5 рабочих дней со дня, когда ему стало известно о вступлении в законную силу решения суда об аннулировании лицензии и (или) постановления о дисквалификации, с использованием информационно-телекоммуникационных сетей в форме электронного уведомления, подписанного уполномоченными на подписание таких уведомлений лицами с использованием усиленной квалифицированной электронной подписи.</w:t>
      </w:r>
    </w:p>
    <w:p>
      <w:pPr>
        <w:pStyle w:val="0"/>
        <w:spacing w:before="200" w:line-rule="auto"/>
        <w:ind w:firstLine="540"/>
        <w:jc w:val="both"/>
      </w:pPr>
      <w:r>
        <w:rPr>
          <w:sz w:val="20"/>
        </w:rPr>
        <w:t xml:space="preserve">6. В целях обеспечения полноты и достоверности сведений, содержащихся в реестре дисквалифицированных лиц, Министерство строительства и жилищно-коммунального хозяйства Российской Федерации вправе получать у Федеральной налоговой службы сведения о лицах, в отношении которых имеются вступившие в законную силу постановления о дисквалификации, в порядке межведомственного информационного взаимодействия в соответствии с </w:t>
      </w:r>
      <w:hyperlink w:history="0" r:id="rId115" w:tooltip="Постановление Правительства РФ от 08.09.2010 N 697 (ред. от 24.06.2021)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w:t>
      </w:r>
    </w:p>
    <w:bookmarkStart w:id="364" w:name="P364"/>
    <w:bookmarkEnd w:id="364"/>
    <w:p>
      <w:pPr>
        <w:pStyle w:val="0"/>
        <w:spacing w:before="200" w:line-rule="auto"/>
        <w:ind w:firstLine="540"/>
        <w:jc w:val="both"/>
      </w:pPr>
      <w:r>
        <w:rPr>
          <w:sz w:val="20"/>
        </w:rPr>
        <w:t xml:space="preserve">7. В случае получения от Федеральной налоговой службы сведений о лицах, в отношении которых имеются вступившие в законную силу постановления о дисквалификации, Министерство строительства и жилищно-коммунального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 на территории которого судом вынесено постановление о дисквалификации. Орган государственного жилищного надзора обязан ответить на указанный запрос в течение 3 рабочих дней со дня его поступления.</w:t>
      </w:r>
    </w:p>
    <w:p>
      <w:pPr>
        <w:pStyle w:val="0"/>
        <w:spacing w:before="200" w:line-rule="auto"/>
        <w:ind w:firstLine="540"/>
        <w:jc w:val="both"/>
      </w:pPr>
      <w:r>
        <w:rPr>
          <w:sz w:val="20"/>
        </w:rPr>
        <w:t xml:space="preserve">8. Министерство строительства и жилищно-коммунального хозяйства Российской Федерации вносит запись в реестр дисквалифицированных лиц управляющих организаций не позднее рабочего дня,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(постановления о дисквалификации) или подтверждения органом государственного жилищного надзора сведений, содержащихся в запросе, направленном ему в соответствии с </w:t>
      </w:r>
      <w:hyperlink w:history="0" w:anchor="P364" w:tooltip="7. В случае получения от Федеральной налоговой службы сведений о лицах, в отношении которых имеются вступившие в законную силу постановления о дисквалификации, Министерство строительства и жилищно-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 на территории которого судом вынесено постановление о дисквалификации. Орган государственного жилищного надзора обязан ответить на указанн...">
        <w:r>
          <w:rPr>
            <w:sz w:val="20"/>
            <w:color w:val="0000ff"/>
          </w:rPr>
          <w:t xml:space="preserve">пунктом 7</w:t>
        </w:r>
      </w:hyperlink>
      <w:r>
        <w:rPr>
          <w:sz w:val="20"/>
        </w:rPr>
        <w:t xml:space="preserve"> настоящего Положения.</w:t>
      </w:r>
    </w:p>
    <w:bookmarkStart w:id="366" w:name="P366"/>
    <w:bookmarkEnd w:id="366"/>
    <w:p>
      <w:pPr>
        <w:pStyle w:val="0"/>
        <w:spacing w:before="200" w:line-rule="auto"/>
        <w:ind w:firstLine="540"/>
        <w:jc w:val="both"/>
      </w:pPr>
      <w:r>
        <w:rPr>
          <w:sz w:val="20"/>
        </w:rPr>
        <w:t xml:space="preserve">9. В реестре дисквалифицированных лиц управляющих организаций указываются следующие сведения:</w:t>
      </w:r>
    </w:p>
    <w:p>
      <w:pPr>
        <w:pStyle w:val="0"/>
        <w:spacing w:before="200" w:line-rule="auto"/>
        <w:ind w:firstLine="540"/>
        <w:jc w:val="both"/>
      </w:pPr>
      <w:r>
        <w:rPr>
          <w:sz w:val="20"/>
        </w:rPr>
        <w:t xml:space="preserve">а) фамилия, имя, отчество (если имеется), дата и место рождения лица;</w:t>
      </w:r>
    </w:p>
    <w:p>
      <w:pPr>
        <w:pStyle w:val="0"/>
        <w:spacing w:before="200" w:line-rule="auto"/>
        <w:ind w:firstLine="540"/>
        <w:jc w:val="both"/>
      </w:pPr>
      <w:r>
        <w:rPr>
          <w:sz w:val="20"/>
        </w:rPr>
        <w:t xml:space="preserve">б) полное наименование и идентификационный номер налогоплательщика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 а также 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p>
      <w:pPr>
        <w:pStyle w:val="0"/>
        <w:spacing w:before="200" w:line-rule="auto"/>
        <w:ind w:firstLine="540"/>
        <w:jc w:val="both"/>
      </w:pPr>
      <w:r>
        <w:rPr>
          <w:sz w:val="20"/>
        </w:rPr>
        <w:t xml:space="preserve">в) наименование суда, вынесшего решение об аннулировании лицензии или постановление о дисквалификации;</w:t>
      </w:r>
    </w:p>
    <w:p>
      <w:pPr>
        <w:pStyle w:val="0"/>
        <w:spacing w:before="200" w:line-rule="auto"/>
        <w:ind w:firstLine="540"/>
        <w:jc w:val="both"/>
      </w:pPr>
      <w:r>
        <w:rPr>
          <w:sz w:val="20"/>
        </w:rPr>
        <w:t xml:space="preserve">г) основания, дата вынесения решения суда об аннулировании лицензии или постановления о дисквалификации;</w:t>
      </w:r>
    </w:p>
    <w:p>
      <w:pPr>
        <w:pStyle w:val="0"/>
        <w:spacing w:before="200" w:line-rule="auto"/>
        <w:ind w:firstLine="540"/>
        <w:jc w:val="both"/>
      </w:pPr>
      <w:r>
        <w:rPr>
          <w:sz w:val="20"/>
        </w:rPr>
        <w:t xml:space="preserve">д) срок дисквалификации;</w:t>
      </w:r>
    </w:p>
    <w:p>
      <w:pPr>
        <w:pStyle w:val="0"/>
        <w:spacing w:before="200" w:line-rule="auto"/>
        <w:ind w:firstLine="540"/>
        <w:jc w:val="both"/>
      </w:pPr>
      <w:r>
        <w:rPr>
          <w:sz w:val="20"/>
        </w:rPr>
        <w:t xml:space="preserve">е) сведения о пересмотре решения суда об аннулировании лицензии или постановления о дисквалификации (при наличии таких судебных актов).</w:t>
      </w:r>
    </w:p>
    <w:bookmarkStart w:id="373" w:name="P373"/>
    <w:bookmarkEnd w:id="373"/>
    <w:p>
      <w:pPr>
        <w:pStyle w:val="0"/>
        <w:spacing w:before="200" w:line-rule="auto"/>
        <w:ind w:firstLine="540"/>
        <w:jc w:val="both"/>
      </w:pPr>
      <w:r>
        <w:rPr>
          <w:sz w:val="20"/>
        </w:rPr>
        <w:t xml:space="preserve">10. Сведения, внесенные в реестр дисквалифицированных лиц управляющих организаций, должны содержаться в реестре дисквалифицированных лиц управляющих организаций в течение 3 лет со дня их внесения.</w:t>
      </w:r>
    </w:p>
    <w:p>
      <w:pPr>
        <w:pStyle w:val="0"/>
        <w:spacing w:before="200" w:line-rule="auto"/>
        <w:ind w:firstLine="540"/>
        <w:jc w:val="both"/>
      </w:pPr>
      <w:r>
        <w:rPr>
          <w:sz w:val="20"/>
        </w:rPr>
        <w:t xml:space="preserve">11. </w:t>
      </w:r>
      <w:hyperlink w:history="0" r:id="rId116" w:tooltip="Приказ Минстроя России от 30.12.2015 N 963/пр &quot;Об утверждении формы выписки из реестра дисквалифицированных лиц управляющих организаций и порядка ее предоставления&quot; (Зарегистрировано в Минюсте России 01.04.2016 N 41634) {КонсультантПлюс}">
        <w:r>
          <w:rPr>
            <w:sz w:val="20"/>
            <w:color w:val="0000ff"/>
          </w:rPr>
          <w:t xml:space="preserve">Форма</w:t>
        </w:r>
      </w:hyperlink>
      <w:r>
        <w:rPr>
          <w:sz w:val="20"/>
        </w:rPr>
        <w:t xml:space="preserve"> выписки из реестра дисквалифицированных лиц управляющих организаций, содержащей информацию о конкретном дисквалифицированном лице и предоставляемой заинтересованным лицам, а также </w:t>
      </w:r>
      <w:hyperlink w:history="0" r:id="rId117" w:tooltip="Приказ Минстроя России от 30.12.2015 N 963/пр &quot;Об утверждении формы выписки из реестра дисквалифицированных лиц управляющих организаций и порядка ее предоставления&quot; (Зарегистрировано в Минюсте России 01.04.2016 N 41634) {КонсультантПлюс}">
        <w:r>
          <w:rPr>
            <w:sz w:val="20"/>
            <w:color w:val="0000ff"/>
          </w:rPr>
          <w:t xml:space="preserve">порядок</w:t>
        </w:r>
      </w:hyperlink>
      <w:r>
        <w:rPr>
          <w:sz w:val="20"/>
        </w:rPr>
        <w:t xml:space="preserve"> ее предоставления устанавливаются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12. Срок предоставления информации, содержащейся в реестре дисквалифицированных лиц управляющих организаций, составляет 5 рабочих дней со дня поступления в Министерство строительства и жилищно-коммунального хозяйства Российской Федерации соответствующего запроса.</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28 октября 2014 г. N 1110</w:t>
      </w:r>
    </w:p>
    <w:p>
      <w:pPr>
        <w:pStyle w:val="0"/>
        <w:jc w:val="center"/>
      </w:pPr>
      <w:r>
        <w:rPr>
          <w:sz w:val="20"/>
        </w:rPr>
      </w:r>
    </w:p>
    <w:bookmarkStart w:id="386" w:name="P386"/>
    <w:bookmarkEnd w:id="386"/>
    <w:p>
      <w:pPr>
        <w:pStyle w:val="2"/>
        <w:jc w:val="center"/>
      </w:pPr>
      <w:r>
        <w:rPr>
          <w:sz w:val="20"/>
        </w:rPr>
        <w:t xml:space="preserve">ПОЛОЖЕНИЕ</w:t>
      </w:r>
    </w:p>
    <w:p>
      <w:pPr>
        <w:pStyle w:val="2"/>
        <w:jc w:val="center"/>
      </w:pPr>
      <w:r>
        <w:rPr>
          <w:sz w:val="20"/>
        </w:rPr>
        <w:t xml:space="preserve">ОБ ОСУЩЕСТВЛЕНИИ КОНТРОЛЯ ЗА СОБЛЮДЕНИЕМ ОРГАНАМИ</w:t>
      </w:r>
    </w:p>
    <w:p>
      <w:pPr>
        <w:pStyle w:val="2"/>
        <w:jc w:val="center"/>
      </w:pPr>
      <w:r>
        <w:rPr>
          <w:sz w:val="20"/>
        </w:rPr>
        <w:t xml:space="preserve">ИСПОЛНИТЕЛЬНОЙ ВЛАСТИ СУБЪЕКТОВ РОССИЙСКОЙ ФЕДЕРАЦИИ,</w:t>
      </w:r>
    </w:p>
    <w:p>
      <w:pPr>
        <w:pStyle w:val="2"/>
        <w:jc w:val="center"/>
      </w:pPr>
      <w:r>
        <w:rPr>
          <w:sz w:val="20"/>
        </w:rPr>
        <w:t xml:space="preserve">ОСУЩЕСТВЛЯЮЩИМИ РЕГИОНАЛЬНЫЙ ГОСУДАРСТВЕННЫЙ ЖИЛИЩНЫЙ</w:t>
      </w:r>
    </w:p>
    <w:p>
      <w:pPr>
        <w:pStyle w:val="2"/>
        <w:jc w:val="center"/>
      </w:pPr>
      <w:r>
        <w:rPr>
          <w:sz w:val="20"/>
        </w:rPr>
        <w:t xml:space="preserve">НАДЗОР, ТРЕБОВАНИЙ ЖИЛИЩНОГО КОДЕКСА РОССИЙСКОЙ ФЕДЕРАЦИИ</w:t>
      </w:r>
    </w:p>
    <w:p>
      <w:pPr>
        <w:pStyle w:val="2"/>
        <w:jc w:val="center"/>
      </w:pPr>
      <w:r>
        <w:rPr>
          <w:sz w:val="20"/>
        </w:rPr>
        <w:t xml:space="preserve">И ФЕДЕРАЛЬНОГО ЗАКОНА "О ЛИЦЕНЗИРОВАНИИ ОТДЕЛЬНЫХ</w:t>
      </w:r>
    </w:p>
    <w:p>
      <w:pPr>
        <w:pStyle w:val="2"/>
        <w:jc w:val="center"/>
      </w:pPr>
      <w:r>
        <w:rPr>
          <w:sz w:val="20"/>
        </w:rPr>
        <w:t xml:space="preserve">ВИДОВ ДЕЯТЕЛЬНОСТИ" К ЛИЦЕНЗИРОВАНИЮ ПРЕДПРИНИМАТЕЛЬСКОЙ</w:t>
      </w:r>
    </w:p>
    <w:p>
      <w:pPr>
        <w:pStyle w:val="2"/>
        <w:jc w:val="center"/>
      </w:pPr>
      <w:r>
        <w:rPr>
          <w:sz w:val="20"/>
        </w:rPr>
        <w:t xml:space="preserve">ДЕЯТЕЛЬНОСТИ ПО УПРАВЛЕНИЮ МНОГОКВАРТИРНЫМИ ДОМАМИ</w:t>
      </w:r>
    </w:p>
    <w:p>
      <w:pPr>
        <w:pStyle w:val="0"/>
        <w:jc w:val="center"/>
      </w:pPr>
      <w:r>
        <w:rPr>
          <w:sz w:val="20"/>
        </w:rPr>
      </w:r>
    </w:p>
    <w:p>
      <w:pPr>
        <w:pStyle w:val="0"/>
        <w:ind w:firstLine="540"/>
        <w:jc w:val="both"/>
      </w:pPr>
      <w:r>
        <w:rPr>
          <w:sz w:val="20"/>
        </w:rPr>
        <w:t xml:space="preserve">1. Настоящее Положение устанавливает порядок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(далее - органы государственного жилищного надзора), требований Жилищного </w:t>
      </w:r>
      <w:hyperlink w:history="0" r:id="rId118" w:tooltip="&quot;Жилищный кодекс Российской Федерации&quot; от 29.12.2004 N 188-ФЗ (ред. от 28.06.2022) {КонсультантПлюс}">
        <w:r>
          <w:rPr>
            <w:sz w:val="20"/>
            <w:color w:val="0000ff"/>
          </w:rPr>
          <w:t xml:space="preserve">кодекса</w:t>
        </w:r>
      </w:hyperlink>
      <w:r>
        <w:rPr>
          <w:sz w:val="20"/>
        </w:rPr>
        <w:t xml:space="preserve"> Российской Федерации и Федерального </w:t>
      </w:r>
      <w:hyperlink w:history="0" r:id="rId119"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 лицензировании отдельных видов деятельности" к лицензированию предпринимательской деятельности по управлению многоквартирными домами (далее - обязательные требования).</w:t>
      </w:r>
    </w:p>
    <w:p>
      <w:pPr>
        <w:pStyle w:val="0"/>
        <w:spacing w:before="200" w:line-rule="auto"/>
        <w:ind w:firstLine="540"/>
        <w:jc w:val="both"/>
      </w:pPr>
      <w:r>
        <w:rPr>
          <w:sz w:val="20"/>
        </w:rPr>
        <w:t xml:space="preserve">2. Контроль за соблюдением органами государственного жилищного надзора обязательных требований осуществляется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3. Контроль за соблюдением органами государственного жилищного надзора обязательных требований осуществляется в форме плановых и внеплановых проверок, проводимых в соответствии с настоящим Положением и </w:t>
      </w:r>
      <w:hyperlink w:history="0" r:id="rId120"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административным регламентом</w:t>
        </w:r>
      </w:hyperlink>
      <w:r>
        <w:rPr>
          <w:sz w:val="20"/>
        </w:rPr>
        <w:t xml:space="preserve"> исполнения государственной функции по осуществлению контроля за соблюдением органами государственного жилищного надзора обязательных требований, утверждаемым Министерством строительства и жилищно-коммунального хозяйства Российской Федерации (далее - проверка).</w:t>
      </w:r>
    </w:p>
    <w:p>
      <w:pPr>
        <w:pStyle w:val="0"/>
        <w:spacing w:before="200" w:line-rule="auto"/>
        <w:ind w:firstLine="540"/>
        <w:jc w:val="both"/>
      </w:pPr>
      <w:r>
        <w:rPr>
          <w:sz w:val="20"/>
        </w:rPr>
        <w:t xml:space="preserve">4. Плановые проверки осуществляются в целях проверки соблюдения органами государственного жилищного надзора обязательных требований. Плановая проверка органа государственного жилищного надзора осуществляется не чаще одного раза в 3 года.</w:t>
      </w:r>
    </w:p>
    <w:p>
      <w:pPr>
        <w:pStyle w:val="0"/>
        <w:spacing w:before="200" w:line-rule="auto"/>
        <w:ind w:firstLine="540"/>
        <w:jc w:val="both"/>
      </w:pPr>
      <w:r>
        <w:rPr>
          <w:sz w:val="20"/>
        </w:rPr>
        <w:t xml:space="preserve">5. Министерство строительства и жилищно-коммунального хозяйства Российской Федерации составляет до 1 декабря года, предшествующего году проведения плановых проверок, ежегодный план проведения плановых проверок. Ежегодный план проведения плановых проверок размещается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6. Внеплановые проверки проводятся в целях проверки устранения ранее выявленных нарушений обязательных требований, а также в случае поступления в Министерство строительства и жилищно-коммунального хозяйства Российской Федерации жалоб на действия (бездействие)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7. Проверки проводятся в форме документарной проверки или выездной проверки. Документарная проверка проводится по месту нахождения Министерства строительства и жилищно-коммунального хозяйства Российской Федерации. Выездная проверка проводится по месту нахождения проверяемого органа государственного жилищного надзора.</w:t>
      </w:r>
    </w:p>
    <w:p>
      <w:pPr>
        <w:pStyle w:val="0"/>
        <w:spacing w:before="200" w:line-rule="auto"/>
        <w:ind w:firstLine="540"/>
        <w:jc w:val="both"/>
      </w:pPr>
      <w:r>
        <w:rPr>
          <w:sz w:val="20"/>
        </w:rPr>
        <w:t xml:space="preserve">8. Срок проведения проверки не может превышать 30 рабочих дней.</w:t>
      </w:r>
    </w:p>
    <w:p>
      <w:pPr>
        <w:pStyle w:val="0"/>
        <w:spacing w:before="200" w:line-rule="auto"/>
        <w:ind w:firstLine="540"/>
        <w:jc w:val="both"/>
      </w:pPr>
      <w:r>
        <w:rPr>
          <w:sz w:val="20"/>
        </w:rPr>
        <w:t xml:space="preserve">9. Проверка проводится на основании приказа Министра строительства и жилищно-коммунального хозяйства Российской Федерации, в котором указываются:</w:t>
      </w:r>
    </w:p>
    <w:p>
      <w:pPr>
        <w:pStyle w:val="0"/>
        <w:spacing w:before="200" w:line-rule="auto"/>
        <w:ind w:firstLine="540"/>
        <w:jc w:val="both"/>
      </w:pPr>
      <w:r>
        <w:rPr>
          <w:sz w:val="20"/>
        </w:rPr>
        <w:t xml:space="preserve">а) фамилии, имена, отчества, должности должностного лица или должностных лиц, уполномоченных на проведение проверки;</w:t>
      </w:r>
    </w:p>
    <w:p>
      <w:pPr>
        <w:pStyle w:val="0"/>
        <w:spacing w:before="200" w:line-rule="auto"/>
        <w:ind w:firstLine="540"/>
        <w:jc w:val="both"/>
      </w:pPr>
      <w:r>
        <w:rPr>
          <w:sz w:val="20"/>
        </w:rPr>
        <w:t xml:space="preserve">б) наименование органа государственного жилищного надзора, в отношении которого проводится проверка;</w:t>
      </w:r>
    </w:p>
    <w:p>
      <w:pPr>
        <w:pStyle w:val="0"/>
        <w:spacing w:before="200" w:line-rule="auto"/>
        <w:ind w:firstLine="540"/>
        <w:jc w:val="both"/>
      </w:pPr>
      <w:r>
        <w:rPr>
          <w:sz w:val="20"/>
        </w:rPr>
        <w:t xml:space="preserve">в) цели, задачи и предмет проверки;</w:t>
      </w:r>
    </w:p>
    <w:p>
      <w:pPr>
        <w:pStyle w:val="0"/>
        <w:spacing w:before="200" w:line-rule="auto"/>
        <w:ind w:firstLine="540"/>
        <w:jc w:val="both"/>
      </w:pPr>
      <w:r>
        <w:rPr>
          <w:sz w:val="20"/>
        </w:rPr>
        <w:t xml:space="preserve">г) правовые основания проведения проверки, в том числе подлежащие проверке обязательные требования;</w:t>
      </w:r>
    </w:p>
    <w:p>
      <w:pPr>
        <w:pStyle w:val="0"/>
        <w:spacing w:before="200" w:line-rule="auto"/>
        <w:ind w:firstLine="540"/>
        <w:jc w:val="both"/>
      </w:pPr>
      <w:r>
        <w:rPr>
          <w:sz w:val="20"/>
        </w:rPr>
        <w:t xml:space="preserve">д) перечень мероприятий по контролю, необходимых для достижения целей и задач ее проведения;</w:t>
      </w:r>
    </w:p>
    <w:p>
      <w:pPr>
        <w:pStyle w:val="0"/>
        <w:spacing w:before="200" w:line-rule="auto"/>
        <w:ind w:firstLine="540"/>
        <w:jc w:val="both"/>
      </w:pPr>
      <w:r>
        <w:rPr>
          <w:sz w:val="20"/>
        </w:rPr>
        <w:t xml:space="preserve">е) вид проверки;</w:t>
      </w:r>
    </w:p>
    <w:p>
      <w:pPr>
        <w:pStyle w:val="0"/>
        <w:spacing w:before="200" w:line-rule="auto"/>
        <w:ind w:firstLine="540"/>
        <w:jc w:val="both"/>
      </w:pPr>
      <w:r>
        <w:rPr>
          <w:sz w:val="20"/>
        </w:rPr>
        <w:t xml:space="preserve">ж) перечень документов, представление которых органом государственного жилищного надзора необходимо для достижения целей и задач проведения проверки;</w:t>
      </w:r>
    </w:p>
    <w:p>
      <w:pPr>
        <w:pStyle w:val="0"/>
        <w:spacing w:before="200" w:line-rule="auto"/>
        <w:ind w:firstLine="540"/>
        <w:jc w:val="both"/>
      </w:pPr>
      <w:r>
        <w:rPr>
          <w:sz w:val="20"/>
        </w:rPr>
        <w:t xml:space="preserve">з) даты начала и окончания проведения проверки.</w:t>
      </w:r>
    </w:p>
    <w:p>
      <w:pPr>
        <w:pStyle w:val="0"/>
        <w:spacing w:before="200" w:line-rule="auto"/>
        <w:ind w:firstLine="540"/>
        <w:jc w:val="both"/>
      </w:pPr>
      <w:r>
        <w:rPr>
          <w:sz w:val="20"/>
        </w:rPr>
        <w:t xml:space="preserve">10. Должностные лица Министерства строительства и жилищно-коммунального хозяйства Российской Федерации при проведении проверки обязаны:</w:t>
      </w:r>
    </w:p>
    <w:p>
      <w:pPr>
        <w:pStyle w:val="0"/>
        <w:spacing w:before="200" w:line-rule="auto"/>
        <w:ind w:firstLine="540"/>
        <w:jc w:val="both"/>
      </w:pPr>
      <w:r>
        <w:rPr>
          <w:sz w:val="20"/>
        </w:rPr>
        <w:t xml:space="preserve">а) проводить проверку на основании приказа Министра строительства и жилищно-коммунального хозяйства Российской Федерации о ее проведении в соответствии с назначением проверки;</w:t>
      </w:r>
    </w:p>
    <w:p>
      <w:pPr>
        <w:pStyle w:val="0"/>
        <w:spacing w:before="200" w:line-rule="auto"/>
        <w:ind w:firstLine="540"/>
        <w:jc w:val="both"/>
      </w:pPr>
      <w:r>
        <w:rPr>
          <w:sz w:val="20"/>
        </w:rPr>
        <w:t xml:space="preserve">б)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Министра строительства и жилищно-коммунального хозяйства Российской Федерации о проведении проверки;</w:t>
      </w:r>
    </w:p>
    <w:p>
      <w:pPr>
        <w:pStyle w:val="0"/>
        <w:spacing w:before="200" w:line-rule="auto"/>
        <w:ind w:firstLine="540"/>
        <w:jc w:val="both"/>
      </w:pPr>
      <w:r>
        <w:rPr>
          <w:sz w:val="20"/>
        </w:rPr>
        <w:t xml:space="preserve">в) не препятствовать должностным лицам органа государственного жилищного надзора присутствовать при проведении проверки и давать разъяснения по вопросам, относящимся к предмету проверки;</w:t>
      </w:r>
    </w:p>
    <w:p>
      <w:pPr>
        <w:pStyle w:val="0"/>
        <w:spacing w:before="200" w:line-rule="auto"/>
        <w:ind w:firstLine="540"/>
        <w:jc w:val="both"/>
      </w:pPr>
      <w:r>
        <w:rPr>
          <w:sz w:val="20"/>
        </w:rPr>
        <w:t xml:space="preserve">г) предоставлять должностным лицам органа государственного жилищного надзора, присутствующим при проведении проверки, информацию и документы, относящиеся к предмету проверки;</w:t>
      </w:r>
    </w:p>
    <w:p>
      <w:pPr>
        <w:pStyle w:val="0"/>
        <w:spacing w:before="200" w:line-rule="auto"/>
        <w:ind w:firstLine="540"/>
        <w:jc w:val="both"/>
      </w:pPr>
      <w:r>
        <w:rPr>
          <w:sz w:val="20"/>
        </w:rPr>
        <w:t xml:space="preserve">д) знакомить руководителя органа государственного жилищного надзора с результатами проверки;</w:t>
      </w:r>
    </w:p>
    <w:p>
      <w:pPr>
        <w:pStyle w:val="0"/>
        <w:spacing w:before="200" w:line-rule="auto"/>
        <w:ind w:firstLine="540"/>
        <w:jc w:val="both"/>
      </w:pPr>
      <w:r>
        <w:rPr>
          <w:sz w:val="20"/>
        </w:rPr>
        <w:t xml:space="preserve">е) соблюдать сроки проведения проверки.</w:t>
      </w:r>
    </w:p>
    <w:p>
      <w:pPr>
        <w:pStyle w:val="0"/>
        <w:spacing w:before="200" w:line-rule="auto"/>
        <w:ind w:firstLine="540"/>
        <w:jc w:val="both"/>
      </w:pPr>
      <w:r>
        <w:rPr>
          <w:sz w:val="20"/>
        </w:rPr>
        <w:t xml:space="preserve">11. В процессе проведения документарной проверки должностные лица Министерства строительства и жилищно-коммунального хозяйства Российской Федерации имеют право требовать от органа государственного жилищного надзора представлять документы, подтверждающие соблюдение обязательных требований.</w:t>
      </w:r>
    </w:p>
    <w:p>
      <w:pPr>
        <w:pStyle w:val="0"/>
        <w:spacing w:before="200" w:line-rule="auto"/>
        <w:ind w:firstLine="540"/>
        <w:jc w:val="both"/>
      </w:pPr>
      <w:r>
        <w:rPr>
          <w:sz w:val="20"/>
        </w:rPr>
        <w:t xml:space="preserve">12. При проведении выездной проверки должностные лица Министерства строительства и жилищно-коммунального хозяйства Российской Федерации имеют право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беспрепятственно при предъявлении служебного удостоверения и копии приказа Министра строительства и жилищно-коммунального хозяйства Российской Федерации о проведении проверки проходить на территорию и в здание (строения, сооружения, помещения) органа государственного жилищного надзора.</w:t>
      </w:r>
    </w:p>
    <w:p>
      <w:pPr>
        <w:pStyle w:val="0"/>
        <w:spacing w:before="200" w:line-rule="auto"/>
        <w:ind w:firstLine="540"/>
        <w:jc w:val="both"/>
      </w:pPr>
      <w:r>
        <w:rPr>
          <w:sz w:val="20"/>
        </w:rPr>
        <w:t xml:space="preserve">13. По результатам проверки в течение 3 рабочих дней со дня окончания ее проведения составляется акт проверки. В акте проверки указываются:</w:t>
      </w:r>
    </w:p>
    <w:p>
      <w:pPr>
        <w:pStyle w:val="0"/>
        <w:spacing w:before="200" w:line-rule="auto"/>
        <w:ind w:firstLine="540"/>
        <w:jc w:val="both"/>
      </w:pPr>
      <w:r>
        <w:rPr>
          <w:sz w:val="20"/>
        </w:rPr>
        <w:t xml:space="preserve">а) дата, время и место составления акта проверки;</w:t>
      </w:r>
    </w:p>
    <w:p>
      <w:pPr>
        <w:pStyle w:val="0"/>
        <w:spacing w:before="200" w:line-rule="auto"/>
        <w:ind w:firstLine="540"/>
        <w:jc w:val="both"/>
      </w:pPr>
      <w:r>
        <w:rPr>
          <w:sz w:val="20"/>
        </w:rPr>
        <w:t xml:space="preserve">б) дата и номер приказа Министра строительства и жилищно-коммунального хозяйства Российской Федерации о проведении проверки;</w:t>
      </w:r>
    </w:p>
    <w:p>
      <w:pPr>
        <w:pStyle w:val="0"/>
        <w:spacing w:before="200" w:line-rule="auto"/>
        <w:ind w:firstLine="540"/>
        <w:jc w:val="both"/>
      </w:pPr>
      <w:r>
        <w:rPr>
          <w:sz w:val="20"/>
        </w:rPr>
        <w:t xml:space="preserve">в) фамилии, имена, отчества и должности должностного лица или должностных лиц, проводивших проверку;</w:t>
      </w:r>
    </w:p>
    <w:p>
      <w:pPr>
        <w:pStyle w:val="0"/>
        <w:spacing w:before="200" w:line-rule="auto"/>
        <w:ind w:firstLine="540"/>
        <w:jc w:val="both"/>
      </w:pPr>
      <w:r>
        <w:rPr>
          <w:sz w:val="20"/>
        </w:rPr>
        <w:t xml:space="preserve">г) наименование органа государственного жилищного надзора, в отношении которого проведена проверка;</w:t>
      </w:r>
    </w:p>
    <w:p>
      <w:pPr>
        <w:pStyle w:val="0"/>
        <w:spacing w:before="200" w:line-rule="auto"/>
        <w:ind w:firstLine="540"/>
        <w:jc w:val="both"/>
      </w:pPr>
      <w:r>
        <w:rPr>
          <w:sz w:val="20"/>
        </w:rPr>
        <w:t xml:space="preserve">д) дата, время, продолжительность и место проведения проверки;</w:t>
      </w:r>
    </w:p>
    <w:p>
      <w:pPr>
        <w:pStyle w:val="0"/>
        <w:spacing w:before="200" w:line-rule="auto"/>
        <w:ind w:firstLine="540"/>
        <w:jc w:val="both"/>
      </w:pPr>
      <w:r>
        <w:rPr>
          <w:sz w:val="20"/>
        </w:rPr>
        <w:t xml:space="preserve">е)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pPr>
        <w:pStyle w:val="0"/>
        <w:spacing w:before="200" w:line-rule="auto"/>
        <w:ind w:firstLine="540"/>
        <w:jc w:val="both"/>
      </w:pPr>
      <w:r>
        <w:rPr>
          <w:sz w:val="20"/>
        </w:rPr>
        <w:t xml:space="preserve">ж) сведения об ознакомлении или отказе в ознакомлении с актом проверки руководителя органа государственного жилищного надзора;</w:t>
      </w:r>
    </w:p>
    <w:p>
      <w:pPr>
        <w:pStyle w:val="0"/>
        <w:spacing w:before="200" w:line-rule="auto"/>
        <w:ind w:firstLine="540"/>
        <w:jc w:val="both"/>
      </w:pPr>
      <w:r>
        <w:rPr>
          <w:sz w:val="20"/>
        </w:rPr>
        <w:t xml:space="preserve">з) подписи должностного лица или должностных лиц, проводивших проверку.</w:t>
      </w:r>
    </w:p>
    <w:p>
      <w:pPr>
        <w:pStyle w:val="0"/>
        <w:spacing w:before="200" w:line-rule="auto"/>
        <w:ind w:firstLine="540"/>
        <w:jc w:val="both"/>
      </w:pPr>
      <w:r>
        <w:rPr>
          <w:sz w:val="20"/>
        </w:rPr>
        <w:t xml:space="preserve">14.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жилищно-коммунального хозяйства Российской Федерации, проводившее проверку,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w:t>
      </w:r>
    </w:p>
    <w:p>
      <w:pPr>
        <w:pStyle w:val="0"/>
        <w:spacing w:before="200" w:line-rule="auto"/>
        <w:ind w:firstLine="540"/>
        <w:jc w:val="both"/>
      </w:pPr>
      <w:r>
        <w:rPr>
          <w:sz w:val="20"/>
        </w:rPr>
        <w:t xml:space="preserve">15. О мерах, принятых в отношении должностных лиц, виновных в нарушении обязательных требований, а также о мерах, принятых для устранения выявленных нарушений обязательных требований, орган государственного жилищного надзора уведомляет Министерство строительства и жилищно-коммунального хозяйства Российской Федерации в течение 10 рабочих дней со дня принятия таких мер, а также сообщает в письменной форме организациям, индивидуальным предпринимателям и гражданам, интересы которых нарушены, в случае проведения проверки по жалобе на действие (бездействие) должностных лиц органа государственного жилищного надзора.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28.10.2014 N 1110</w:t>
            <w:br/>
            <w:t>(ред. от 05.02.2022)</w:t>
            <w:br/>
            <w:t>"О лицензировании предпринимательской деятельно...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503DB14F4122AFDA822467EBB9022DEDD97597E9B9EEF773FE6755A15FF1F83A7FD2EFD3A8CA641EB6E1D79D8E40B3F362B6F09E2CE12E6c0kDM" TargetMode = "External"/>
	<Relationship Id="rId8" Type="http://schemas.openxmlformats.org/officeDocument/2006/relationships/hyperlink" Target="consultantplus://offline/ref=A503DB14F4122AFDA822467EBB9022DEDA9E567E9A97EF773FE6755A15FF1F83A7FD2EFD3A8CA641EA6E1D79D8E40B3F362B6F09E2CE12E6c0kDM" TargetMode = "External"/>
	<Relationship Id="rId9" Type="http://schemas.openxmlformats.org/officeDocument/2006/relationships/hyperlink" Target="consultantplus://offline/ref=A503DB14F4122AFDA822467EBB9022DEDA9054729B90EF773FE6755A15FF1F83A7FD2EFD3A8CA645EC6E1D79D8E40B3F362B6F09E2CE12E6c0kDM" TargetMode = "External"/>
	<Relationship Id="rId10" Type="http://schemas.openxmlformats.org/officeDocument/2006/relationships/hyperlink" Target="consultantplus://offline/ref=A503DB14F4122AFDA822467EBB9022DEDD9759719A92EF773FE6755A15FF1F83A7FD2EFD3A8CA645EC6E1D79D8E40B3F362B6F09E2CE12E6c0kDM" TargetMode = "External"/>
	<Relationship Id="rId11" Type="http://schemas.openxmlformats.org/officeDocument/2006/relationships/hyperlink" Target="consultantplus://offline/ref=A503DB14F4122AFDA822467EBB9022DEDD9759719A92EF773FE6755A15FF1F83A7FD2EFD3A8CA644EB6E1D79D8E40B3F362B6F09E2CE12E6c0kDM" TargetMode = "External"/>
	<Relationship Id="rId12" Type="http://schemas.openxmlformats.org/officeDocument/2006/relationships/hyperlink" Target="consultantplus://offline/ref=A503DB14F4122AFDA822467EBB9022DEDA94507F9193EF773FE6755A15FF1F83A7FD2EFD3A8CA644ED6E1D79D8E40B3F362B6F09E2CE12E6c0kDM" TargetMode = "External"/>
	<Relationship Id="rId13" Type="http://schemas.openxmlformats.org/officeDocument/2006/relationships/hyperlink" Target="consultantplus://offline/ref=A503DB14F4122AFDA822467EBB9022DEDA94507F9193EF773FE6755A15FF1F83A7FD2EFD3A8CA643EC6E1D79D8E40B3F362B6F09E2CE12E6c0kDM" TargetMode = "External"/>
	<Relationship Id="rId14" Type="http://schemas.openxmlformats.org/officeDocument/2006/relationships/hyperlink" Target="consultantplus://offline/ref=A503DB14F4122AFDA822467EBB9022DEDA94507F9193EF773FE6755A15FF1F83A7FD2EFD3A8CA744EB6E1D79D8E40B3F362B6F09E2CE12E6c0kDM" TargetMode = "External"/>
	<Relationship Id="rId15" Type="http://schemas.openxmlformats.org/officeDocument/2006/relationships/hyperlink" Target="consultantplus://offline/ref=A503DB14F4122AFDA822467EBB9022DEDA94507F9193EF773FE6755A15FF1F83A7FD2EFD3A8CA747E86E1D79D8E40B3F362B6F09E2CE12E6c0kDM" TargetMode = "External"/>
	<Relationship Id="rId16" Type="http://schemas.openxmlformats.org/officeDocument/2006/relationships/hyperlink" Target="consultantplus://offline/ref=A503DB14F4122AFDA822467EBB9022DEDA9159779590EF773FE6755A15FF1F83A7FD2EFD3A8CA644E96E1D79D8E40B3F362B6F09E2CE12E6c0kDM" TargetMode = "External"/>
	<Relationship Id="rId17" Type="http://schemas.openxmlformats.org/officeDocument/2006/relationships/hyperlink" Target="consultantplus://offline/ref=A503DB14F4122AFDA822467EBB9022DEDD9651709294EF773FE6755A15FF1F83A7FD2EFD3A8CA644EB6E1D79D8E40B3F362B6F09E2CE12E6c0kDM" TargetMode = "External"/>
	<Relationship Id="rId18" Type="http://schemas.openxmlformats.org/officeDocument/2006/relationships/hyperlink" Target="consultantplus://offline/ref=A503DB14F4122AFDA822467EBB9022DEDD9651709294EF773FE6755A15FF1F83A7FD2EFD3A8CA642EB6E1D79D8E40B3F362B6F09E2CE12E6c0kDM" TargetMode = "External"/>
	<Relationship Id="rId19" Type="http://schemas.openxmlformats.org/officeDocument/2006/relationships/hyperlink" Target="consultantplus://offline/ref=A503DB14F4122AFDA822467EBB9022DEDA9E55779692EF773FE6755A15FF1F83B5FD76F13B8DB845EE7B4B289EcBk3M" TargetMode = "External"/>
	<Relationship Id="rId20" Type="http://schemas.openxmlformats.org/officeDocument/2006/relationships/hyperlink" Target="consultantplus://offline/ref=A503DB14F4122AFDA822467EBB9022DEDD9759719A92EF773FE6755A15FF1F83A7FD2EFD3A8CA644ED6E1D79D8E40B3F362B6F09E2CE12E6c0kDM" TargetMode = "External"/>
	<Relationship Id="rId21" Type="http://schemas.openxmlformats.org/officeDocument/2006/relationships/hyperlink" Target="consultantplus://offline/ref=A503DB14F4122AFDA822467EBB9022DEDD9759719A92EF773FE6755A15FF1F83A7FD2EFD3A8CA645EF6E1D79D8E40B3F362B6F09E2CE12E6c0kDM" TargetMode = "External"/>
	<Relationship Id="rId22" Type="http://schemas.openxmlformats.org/officeDocument/2006/relationships/hyperlink" Target="consultantplus://offline/ref=A503DB14F4122AFDA822467EBB9022DEDD97597E9B9EEF773FE6755A15FF1F83A7FD2EFD3A8CA641EB6E1D79D8E40B3F362B6F09E2CE12E6c0kDM" TargetMode = "External"/>
	<Relationship Id="rId23" Type="http://schemas.openxmlformats.org/officeDocument/2006/relationships/hyperlink" Target="consultantplus://offline/ref=A503DB14F4122AFDA822467EBB9022DEDA9E567E9A97EF773FE6755A15FF1F83A7FD2EFD3A8CA641EA6E1D79D8E40B3F362B6F09E2CE12E6c0kDM" TargetMode = "External"/>
	<Relationship Id="rId24" Type="http://schemas.openxmlformats.org/officeDocument/2006/relationships/hyperlink" Target="consultantplus://offline/ref=A503DB14F4122AFDA822467EBB9022DEDA9054729B90EF773FE6755A15FF1F83A7FD2EFD3A8CA645EC6E1D79D8E40B3F362B6F09E2CE12E6c0kDM" TargetMode = "External"/>
	<Relationship Id="rId25" Type="http://schemas.openxmlformats.org/officeDocument/2006/relationships/hyperlink" Target="consultantplus://offline/ref=A503DB14F4122AFDA822467EBB9022DEDD9759719A92EF773FE6755A15FF1F83A7FD2EFD3A8CA644EF6E1D79D8E40B3F362B6F09E2CE12E6c0kDM" TargetMode = "External"/>
	<Relationship Id="rId26" Type="http://schemas.openxmlformats.org/officeDocument/2006/relationships/hyperlink" Target="consultantplus://offline/ref=A503DB14F4122AFDA822467EBB9022DEDD9759719A92EF773FE6755A15FF1F83A7FD2EFD3A8CA644E06E1D79D8E40B3F362B6F09E2CE12E6c0kDM" TargetMode = "External"/>
	<Relationship Id="rId27" Type="http://schemas.openxmlformats.org/officeDocument/2006/relationships/hyperlink" Target="consultantplus://offline/ref=A503DB14F4122AFDA822467EBB9022DEDD9759719A92EF773FE6755A15FF1F83A7FD2EFD3A8CA647E86E1D79D8E40B3F362B6F09E2CE12E6c0kDM" TargetMode = "External"/>
	<Relationship Id="rId28" Type="http://schemas.openxmlformats.org/officeDocument/2006/relationships/hyperlink" Target="consultantplus://offline/ref=A503DB14F4122AFDA822467EBB9022DEDD9551729B9FEF773FE6755A15FF1F83A7FD2EF83C8DAD11B8211C259DB0183E302B6D0EFEcCkEM" TargetMode = "External"/>
	<Relationship Id="rId29" Type="http://schemas.openxmlformats.org/officeDocument/2006/relationships/hyperlink" Target="consultantplus://offline/ref=A503DB14F4122AFDA822467EBB9022DEDD9551729B9FEF773FE6755A15FF1F83A7FD2EFA3C88AD11B8211C259DB0183E302B6D0EFEcCkEM" TargetMode = "External"/>
	<Relationship Id="rId30" Type="http://schemas.openxmlformats.org/officeDocument/2006/relationships/hyperlink" Target="consultantplus://offline/ref=A503DB14F4122AFDA822467EBB9022DEDA9E567E9A97EF773FE6755A15FF1F83A7FD2EFD3A8CA641EC6E1D79D8E40B3F362B6F09E2CE12E6c0kDM" TargetMode = "External"/>
	<Relationship Id="rId31" Type="http://schemas.openxmlformats.org/officeDocument/2006/relationships/hyperlink" Target="consultantplus://offline/ref=A503DB14F4122AFDA822467EBB9022DEDD9551729B9FEF773FE6755A15FF1F83A7FD2EFD3A8DA744E16E1D79D8E40B3F362B6F09E2CE12E6c0kDM" TargetMode = "External"/>
	<Relationship Id="rId32" Type="http://schemas.openxmlformats.org/officeDocument/2006/relationships/hyperlink" Target="consultantplus://offline/ref=A503DB14F4122AFDA822467EBB9022DEDD9551729B9FEF773FE6755A15FF1F83A7FD2EF83E8EAD11B8211C259DB0183E302B6D0EFEcCkEM" TargetMode = "External"/>
	<Relationship Id="rId33" Type="http://schemas.openxmlformats.org/officeDocument/2006/relationships/hyperlink" Target="consultantplus://offline/ref=A503DB14F4122AFDA822467EBB9022DEDD9551729B9FEF773FE6755A15FF1F83A7FD2EFA338AAD11B8211C259DB0183E302B6D0EFEcCkEM" TargetMode = "External"/>
	<Relationship Id="rId34" Type="http://schemas.openxmlformats.org/officeDocument/2006/relationships/hyperlink" Target="consultantplus://offline/ref=A503DB14F4122AFDA822467EBB9022DEDA9E567E9A97EF773FE6755A15FF1F83A7FD2EFD3A8CA641EE6E1D79D8E40B3F362B6F09E2CE12E6c0kDM" TargetMode = "External"/>
	<Relationship Id="rId35" Type="http://schemas.openxmlformats.org/officeDocument/2006/relationships/hyperlink" Target="consultantplus://offline/ref=A503DB14F4122AFDA822467EBB9022DEDD9551729B9FEF773FE6755A15FF1F83A7FD2EFB3B8EAD11B8211C259DB0183E302B6D0EFEcCkEM" TargetMode = "External"/>
	<Relationship Id="rId36" Type="http://schemas.openxmlformats.org/officeDocument/2006/relationships/hyperlink" Target="consultantplus://offline/ref=A503DB14F4122AFDA822467EBB9022DEDD9551729B9FEF773FE6755A15FF1F83A7FD2EFB388BAD11B8211C259DB0183E302B6D0EFEcCkEM" TargetMode = "External"/>
	<Relationship Id="rId37" Type="http://schemas.openxmlformats.org/officeDocument/2006/relationships/hyperlink" Target="consultantplus://offline/ref=A503DB14F4122AFDA822467EBB9022DEDA9E567E9A97EF773FE6755A15FF1F83A7FD2EFD3A8CA641E06E1D79D8E40B3F362B6F09E2CE12E6c0kDM" TargetMode = "External"/>
	<Relationship Id="rId38" Type="http://schemas.openxmlformats.org/officeDocument/2006/relationships/hyperlink" Target="consultantplus://offline/ref=A503DB14F4122AFDA822467EBB9022DEDD9551729B9FEF773FE6755A15FF1F83B5FD76F13B8DB845EE7B4B289EcBk3M" TargetMode = "External"/>
	<Relationship Id="rId39" Type="http://schemas.openxmlformats.org/officeDocument/2006/relationships/hyperlink" Target="consultantplus://offline/ref=A503DB14F4122AFDA822467EBB9022DEDD9551729B9FEF773FE6755A15FF1F83A7FD2EF83C8DAD11B8211C259DB0183E302B6D0EFEcCkEM" TargetMode = "External"/>
	<Relationship Id="rId40" Type="http://schemas.openxmlformats.org/officeDocument/2006/relationships/hyperlink" Target="consultantplus://offline/ref=A503DB14F4122AFDA822467EBB9022DEDD9551729B9FEF773FE6755A15FF1F83A7FD2EF83C89AD11B8211C259DB0183E302B6D0EFEcCkEM" TargetMode = "External"/>
	<Relationship Id="rId41" Type="http://schemas.openxmlformats.org/officeDocument/2006/relationships/hyperlink" Target="consultantplus://offline/ref=A503DB14F4122AFDA822467EBB9022DEDA9E567E9A97EF773FE6755A15FF1F83A7FD2EFD3A8CA640E86E1D79D8E40B3F362B6F09E2CE12E6c0kDM" TargetMode = "External"/>
	<Relationship Id="rId42" Type="http://schemas.openxmlformats.org/officeDocument/2006/relationships/hyperlink" Target="consultantplus://offline/ref=A503DB14F4122AFDA822467EBB9022DEDA9359759192EF773FE6755A15FF1F83A7FD2EFD3A8CA644E16E1D79D8E40B3F362B6F09E2CE12E6c0kDM" TargetMode = "External"/>
	<Relationship Id="rId43" Type="http://schemas.openxmlformats.org/officeDocument/2006/relationships/hyperlink" Target="consultantplus://offline/ref=89ABC332B2537BE3228FAE0CF2DCC56F886AD10B44B3D3695B7E66E8C71E9CA2FC381C0F3653C4E138032E0396EE6D2989DEDB321B7C56A2d5k8M" TargetMode = "External"/>
	<Relationship Id="rId44" Type="http://schemas.openxmlformats.org/officeDocument/2006/relationships/hyperlink" Target="consultantplus://offline/ref=89ABC332B2537BE3228FAE0CF2DCC56F886AD10B44B3D3695B7E66E8C71E9CA2FC381C0F3653C4E138032E0396EE6D2989DEDB321B7C56A2d5k8M" TargetMode = "External"/>
	<Relationship Id="rId45" Type="http://schemas.openxmlformats.org/officeDocument/2006/relationships/hyperlink" Target="consultantplus://offline/ref=89ABC332B2537BE3228FAE0CF2DCC56F8869D40C4BB9D3695B7E66E8C71E9CA2FC381C0F3652C2E034032E0396EE6D2989DEDB321B7C56A2d5k8M" TargetMode = "External"/>
	<Relationship Id="rId46" Type="http://schemas.openxmlformats.org/officeDocument/2006/relationships/hyperlink" Target="consultantplus://offline/ref=89ABC332B2537BE3228FAE0CF2DCC56F8F6BD10040B4D3695B7E66E8C71E9CA2FC381C0F3653C4E73F032E0396EE6D2989DEDB321B7C56A2d5k8M" TargetMode = "External"/>
	<Relationship Id="rId47" Type="http://schemas.openxmlformats.org/officeDocument/2006/relationships/hyperlink" Target="consultantplus://offline/ref=89ABC332B2537BE3228FAE0CF2DCC56F8F62D3004AB1D3695B7E66E8C71E9CA2FC381C0F3653C4E53E032E0396EE6D2989DEDB321B7C56A2d5k8M" TargetMode = "External"/>
	<Relationship Id="rId48" Type="http://schemas.openxmlformats.org/officeDocument/2006/relationships/hyperlink" Target="consultantplus://offline/ref=89ABC332B2537BE3228FAE0CF2DCC56F8869D40C4BB9D3695B7E66E8C71E9CA2FC381C09315ACFB46D4C2F5FD3BA7E288FDED93507d7kCM" TargetMode = "External"/>
	<Relationship Id="rId49" Type="http://schemas.openxmlformats.org/officeDocument/2006/relationships/hyperlink" Target="consultantplus://offline/ref=89ABC332B2537BE3228FAE0CF2DCC56F8869D40C4BB9D3695B7E66E8C71E9CA2FC381C09315ACFB46D4C2F5FD3BA7E288FDED93507d7kCM" TargetMode = "External"/>
	<Relationship Id="rId50" Type="http://schemas.openxmlformats.org/officeDocument/2006/relationships/hyperlink" Target="consultantplus://offline/ref=89ABC332B2537BE3228FAE0CF2DCC56F8F62D3004AB1D3695B7E66E8C71E9CA2FC381C0F3653C4E63E032E0396EE6D2989DEDB321B7C56A2d5k8M" TargetMode = "External"/>
	<Relationship Id="rId51" Type="http://schemas.openxmlformats.org/officeDocument/2006/relationships/hyperlink" Target="consultantplus://offline/ref=89ABC332B2537BE3228FAE0CF2DCC56F886AD40E42B2D3695B7E66E8C71E9CA2FC381C0F3653C5E734032E0396EE6D2989DEDB321B7C56A2d5k8M" TargetMode = "External"/>
	<Relationship Id="rId52" Type="http://schemas.openxmlformats.org/officeDocument/2006/relationships/hyperlink" Target="consultantplus://offline/ref=89ABC332B2537BE3228FAE0CF2DCC56F8F62D00946B4D3695B7E66E8C71E9CA2FC381C07355890B1785D7753D3A5602F96C2DB37d0k7M" TargetMode = "External"/>
	<Relationship Id="rId53" Type="http://schemas.openxmlformats.org/officeDocument/2006/relationships/hyperlink" Target="consultantplus://offline/ref=89ABC332B2537BE3228FAE0CF2DCC56F8F62D00946B4D3695B7E66E8C71E9CA2FC381C07355890B1785D7753D3A5602F96C2DB37d0k7M" TargetMode = "External"/>
	<Relationship Id="rId54" Type="http://schemas.openxmlformats.org/officeDocument/2006/relationships/hyperlink" Target="consultantplus://offline/ref=89ABC332B2537BE3228FAE0CF2DCC56F886BDC0F4AB4D3695B7E66E8C71E9CA2FC381C0F3653C4E238032E0396EE6D2989DEDB321B7C56A2d5k8M" TargetMode = "External"/>
	<Relationship Id="rId55" Type="http://schemas.openxmlformats.org/officeDocument/2006/relationships/hyperlink" Target="consultantplus://offline/ref=89ABC332B2537BE3228FAE0CF2DCC56F8F62D3004AB1D3695B7E66E8C71E9CA2FC381C0F3653C4E638032E0396EE6D2989DEDB321B7C56A2d5k8M" TargetMode = "External"/>
	<Relationship Id="rId56" Type="http://schemas.openxmlformats.org/officeDocument/2006/relationships/hyperlink" Target="consultantplus://offline/ref=89ABC332B2537BE3228FAE0CF2DCC56F886BDC0F4AB4D3695B7E66E8C71E9CA2FC381C0F3653C4E23A032E0396EE6D2989DEDB321B7C56A2d5k8M" TargetMode = "External"/>
	<Relationship Id="rId57" Type="http://schemas.openxmlformats.org/officeDocument/2006/relationships/hyperlink" Target="consultantplus://offline/ref=89ABC332B2537BE3228FAE0CF2DCC56F886BDC0F4AB4D3695B7E66E8C71E9CA2FC381C0F3653C4E234032E0396EE6D2989DEDB321B7C56A2d5k8M" TargetMode = "External"/>
	<Relationship Id="rId58" Type="http://schemas.openxmlformats.org/officeDocument/2006/relationships/hyperlink" Target="consultantplus://offline/ref=89ABC332B2537BE3228FAE0CF2DCC56F8F62D00946B4D3695B7E66E8C71E9CA2EE3844033752DAE03B167852D0dBk9M" TargetMode = "External"/>
	<Relationship Id="rId59" Type="http://schemas.openxmlformats.org/officeDocument/2006/relationships/hyperlink" Target="consultantplus://offline/ref=89ABC332B2537BE3228FAE0CF2DCC56F886BDC0F4AB4D3695B7E66E8C71E9CA2FC381C0F3653C4E235032E0396EE6D2989DEDB321B7C56A2d5k8M" TargetMode = "External"/>
	<Relationship Id="rId60" Type="http://schemas.openxmlformats.org/officeDocument/2006/relationships/hyperlink" Target="consultantplus://offline/ref=89ABC332B2537BE3228FAE0CF2DCC56F886BDC0F4AB4D3695B7E66E8C71E9CA2FC381C0F3653C4E33D032E0396EE6D2989DEDB321B7C56A2d5k8M" TargetMode = "External"/>
	<Relationship Id="rId61" Type="http://schemas.openxmlformats.org/officeDocument/2006/relationships/hyperlink" Target="consultantplus://offline/ref=89ABC332B2537BE3228FAE0CF2DCC56F886BD20A40B5D3695B7E66E8C71E9CA2EE3844033752DAE03B167852D0dBk9M" TargetMode = "External"/>
	<Relationship Id="rId62" Type="http://schemas.openxmlformats.org/officeDocument/2006/relationships/hyperlink" Target="consultantplus://offline/ref=89ABC332B2537BE3228FAE0CF2DCC56F8F62D3004AB1D3695B7E66E8C71E9CA2FC381C0F3653C4E639032E0396EE6D2989DEDB321B7C56A2d5k8M" TargetMode = "External"/>
	<Relationship Id="rId63" Type="http://schemas.openxmlformats.org/officeDocument/2006/relationships/hyperlink" Target="consultantplus://offline/ref=89ABC332B2537BE3228FAE0CF2DCC56F886BDC0F4AB4D3695B7E66E8C71E9CA2FC381C0F3653C4E33F032E0396EE6D2989DEDB321B7C56A2d5k8M" TargetMode = "External"/>
	<Relationship Id="rId64" Type="http://schemas.openxmlformats.org/officeDocument/2006/relationships/hyperlink" Target="consultantplus://offline/ref=89ABC332B2537BE3228FAE0CF2DCC56F8F63DC0F42B1D3695B7E66E8C71E9CA2FC381C0F3653C4E134032E0396EE6D2989DEDB321B7C56A2d5k8M" TargetMode = "External"/>
	<Relationship Id="rId65" Type="http://schemas.openxmlformats.org/officeDocument/2006/relationships/hyperlink" Target="consultantplus://offline/ref=89ABC332B2537BE3228FAE0CF2DCC56F8F62D3004AB1D3695B7E66E8C71E9CA2FC381C0F3653C4E639032E0396EE6D2989DEDB321B7C56A2d5k8M" TargetMode = "External"/>
	<Relationship Id="rId66" Type="http://schemas.openxmlformats.org/officeDocument/2006/relationships/hyperlink" Target="consultantplus://offline/ref=89ABC332B2537BE3228FAE0CF2DCC56F886BDC0F4AB4D3695B7E66E8C71E9CA2FC381C0F3653C4E33F032E0396EE6D2989DEDB321B7C56A2d5k8M" TargetMode = "External"/>
	<Relationship Id="rId67" Type="http://schemas.openxmlformats.org/officeDocument/2006/relationships/hyperlink" Target="consultantplus://offline/ref=89ABC332B2537BE3228FAE0CF2DCC56F8869D40C4BB9D3695B7E66E8C71E9CA2FC381C0B3754CFB46D4C2F5FD3BA7E288FDED93507d7kCM" TargetMode = "External"/>
	<Relationship Id="rId68" Type="http://schemas.openxmlformats.org/officeDocument/2006/relationships/hyperlink" Target="consultantplus://offline/ref=89ABC332B2537BE3228FAE0CF2DCC56F8F62D00946B4D3695B7E66E8C71E9CA2FC381C0F3653C5E73E032E0396EE6D2989DEDB321B7C56A2d5k8M" TargetMode = "External"/>
	<Relationship Id="rId69" Type="http://schemas.openxmlformats.org/officeDocument/2006/relationships/hyperlink" Target="consultantplus://offline/ref=89ABC332B2537BE3228FAE0CF2DCC56F8869D40C4BB9D3695B7E66E8C71E9CA2FC381C0A305BCFB46D4C2F5FD3BA7E288FDED93507d7kCM" TargetMode = "External"/>
	<Relationship Id="rId70" Type="http://schemas.openxmlformats.org/officeDocument/2006/relationships/hyperlink" Target="consultantplus://offline/ref=89ABC332B2537BE3228FAE0CF2DCC56F8869D40C4BB9D3695B7E66E8C71E9CA2FC381C0B3751CFB46D4C2F5FD3BA7E288FDED93507d7kCM" TargetMode = "External"/>
	<Relationship Id="rId71" Type="http://schemas.openxmlformats.org/officeDocument/2006/relationships/hyperlink" Target="consultantplus://offline/ref=89ABC332B2537BE3228FAE0CF2DCC56F886BDC0F4AB4D3695B7E66E8C71E9CA2FC381C0F3653C4E338032E0396EE6D2989DEDB321B7C56A2d5k8M" TargetMode = "External"/>
	<Relationship Id="rId72" Type="http://schemas.openxmlformats.org/officeDocument/2006/relationships/hyperlink" Target="consultantplus://offline/ref=89ABC332B2537BE3228FAE0CF2DCC56F8869D40C4BB9D3695B7E66E8C71E9CA2FC381C0A3F54CFB46D4C2F5FD3BA7E288FDED93507d7kCM" TargetMode = "External"/>
	<Relationship Id="rId73" Type="http://schemas.openxmlformats.org/officeDocument/2006/relationships/hyperlink" Target="consultantplus://offline/ref=89ABC332B2537BE3228FAE0CF2DCC56F8F63DD0D42B0D3695B7E66E8C71E9CA2EE3844033752DAE03B167852D0dBk9M" TargetMode = "External"/>
	<Relationship Id="rId74" Type="http://schemas.openxmlformats.org/officeDocument/2006/relationships/hyperlink" Target="consultantplus://offline/ref=89ABC332B2537BE3228FAE0CF2DCC56F8F62D00946B4D3695B7E66E8C71E9CA2EE3844033752DAE03B167852D0dBk9M" TargetMode = "External"/>
	<Relationship Id="rId75" Type="http://schemas.openxmlformats.org/officeDocument/2006/relationships/hyperlink" Target="consultantplus://offline/ref=89ABC332B2537BE3228FAE0CF2DCC56F886BDC0F4AB4D3695B7E66E8C71E9CA2FC381C0F3653C4E33B032E0396EE6D2989DEDB321B7C56A2d5k8M" TargetMode = "External"/>
	<Relationship Id="rId76" Type="http://schemas.openxmlformats.org/officeDocument/2006/relationships/hyperlink" Target="consultantplus://offline/ref=89ABC332B2537BE3228FAE0CF2DCC56F8F62D00946B4D3695B7E66E8C71E9CA2FC381C0F3653C6E834032E0396EE6D2989DEDB321B7C56A2d5k8M" TargetMode = "External"/>
	<Relationship Id="rId77" Type="http://schemas.openxmlformats.org/officeDocument/2006/relationships/hyperlink" Target="consultantplus://offline/ref=89ABC332B2537BE3228FAE0CF2DCC56F8869D40C4BB9D3695B7E66E8C71E9CA2EE3844033752DAE03B167852D0dBk9M" TargetMode = "External"/>
	<Relationship Id="rId78" Type="http://schemas.openxmlformats.org/officeDocument/2006/relationships/hyperlink" Target="consultantplus://offline/ref=89ABC332B2537BE3228FAE0CF2DCC56F8D69D50944B3D3695B7E66E8C71E9CA2FC381C0F3653C4E03B032E0396EE6D2989DEDB321B7C56A2d5k8M" TargetMode = "External"/>
	<Relationship Id="rId79" Type="http://schemas.openxmlformats.org/officeDocument/2006/relationships/hyperlink" Target="consultantplus://offline/ref=89ABC332B2537BE3228FAE0CF2DCC56F8869D40C4BB9D3695B7E66E8C71E9CA2FC381C0A3052CFB46D4C2F5FD3BA7E288FDED93507d7kCM" TargetMode = "External"/>
	<Relationship Id="rId80" Type="http://schemas.openxmlformats.org/officeDocument/2006/relationships/hyperlink" Target="consultantplus://offline/ref=89ABC332B2537BE3228FAE0CF2DCC56F8869D40C4BB9D3695B7E66E8C71E9CA2FC381C083057CFB46D4C2F5FD3BA7E288FDED93507d7kCM" TargetMode = "External"/>
	<Relationship Id="rId81" Type="http://schemas.openxmlformats.org/officeDocument/2006/relationships/hyperlink" Target="consultantplus://offline/ref=89ABC332B2537BE3228FAE0CF2DCC56F886BDC0F4AB4D3695B7E66E8C71E9CA2FC381C0F3653C4E335032E0396EE6D2989DEDB321B7C56A2d5k8M" TargetMode = "External"/>
	<Relationship Id="rId82" Type="http://schemas.openxmlformats.org/officeDocument/2006/relationships/hyperlink" Target="consultantplus://offline/ref=89ABC332B2537BE3228FAE0CF2DCC56F8F62D3004AB1D3695B7E66E8C71E9CA2FC381C0F3653C4E63B032E0396EE6D2989DEDB321B7C56A2d5k8M" TargetMode = "External"/>
	<Relationship Id="rId83" Type="http://schemas.openxmlformats.org/officeDocument/2006/relationships/hyperlink" Target="consultantplus://offline/ref=89ABC332B2537BE3228FAE0CF2DCC56F886AD40E42B2D3695B7E66E8C71E9CA2FC381C0F3653C6E23B032E0396EE6D2989DEDB321B7C56A2d5k8M" TargetMode = "External"/>
	<Relationship Id="rId84" Type="http://schemas.openxmlformats.org/officeDocument/2006/relationships/hyperlink" Target="consultantplus://offline/ref=89ABC332B2537BE3228FAE0CF2DCC56F8F62D00946B4D3695B7E66E8C71E9CA2FC381C0F3653C7E83B032E0396EE6D2989DEDB321B7C56A2d5k8M" TargetMode = "External"/>
	<Relationship Id="rId85" Type="http://schemas.openxmlformats.org/officeDocument/2006/relationships/hyperlink" Target="consultantplus://offline/ref=89ABC332B2537BE3228FAE0CF2DCC56F8F62D3004AB1D3695B7E66E8C71E9CA2FC381C0F3653C4E73C032E0396EE6D2989DEDB321B7C56A2d5k8M" TargetMode = "External"/>
	<Relationship Id="rId86" Type="http://schemas.openxmlformats.org/officeDocument/2006/relationships/hyperlink" Target="consultantplus://offline/ref=89ABC332B2537BE3228FAE0CF2DCC56F886BDC0F4AB4D3695B7E66E8C71E9CA2FC381C0F3653C4E43C032E0396EE6D2989DEDB321B7C56A2d5k8M" TargetMode = "External"/>
	<Relationship Id="rId87" Type="http://schemas.openxmlformats.org/officeDocument/2006/relationships/hyperlink" Target="consultantplus://offline/ref=89ABC332B2537BE3228FAE0CF2DCC56F886BDC0F4AB4D3695B7E66E8C71E9CA2FC381C0F3653C4E43D032E0396EE6D2989DEDB321B7C56A2d5k8M" TargetMode = "External"/>
	<Relationship Id="rId88" Type="http://schemas.openxmlformats.org/officeDocument/2006/relationships/hyperlink" Target="consultantplus://offline/ref=89ABC332B2537BE3228FAE0CF2DCC56F886BDC0F4AB4D3695B7E66E8C71E9CA2FC381C0F3653C4E43F032E0396EE6D2989DEDB321B7C56A2d5k8M" TargetMode = "External"/>
	<Relationship Id="rId89" Type="http://schemas.openxmlformats.org/officeDocument/2006/relationships/hyperlink" Target="consultantplus://offline/ref=89ABC332B2537BE3228FAE0CF2DCC56F886BD10F44B8D3695B7E66E8C71E9CA2FC381C0F3653C4E835032E0396EE6D2989DEDB321B7C56A2d5k8M" TargetMode = "External"/>
	<Relationship Id="rId90" Type="http://schemas.openxmlformats.org/officeDocument/2006/relationships/hyperlink" Target="consultantplus://offline/ref=89ABC332B2537BE3228FAE0CF2DCC56F8F63DD0D42B0D3695B7E66E8C71E9CA2FC381C0F3653C7E139032E0396EE6D2989DEDB321B7C56A2d5k8M" TargetMode = "External"/>
	<Relationship Id="rId91" Type="http://schemas.openxmlformats.org/officeDocument/2006/relationships/hyperlink" Target="consultantplus://offline/ref=89ABC332B2537BE3228FAE0CF2DCC56F8F63DD0D42B0D3695B7E66E8C71E9CA2EE3844033752DAE03B167852D0dBk9M" TargetMode = "External"/>
	<Relationship Id="rId92" Type="http://schemas.openxmlformats.org/officeDocument/2006/relationships/hyperlink" Target="consultantplus://offline/ref=89ABC332B2537BE3228FAE0CF2DCC56F886BDC0F4AB4D3695B7E66E8C71E9CA2FC381C0F3653C4E63D032E0396EE6D2989DEDB321B7C56A2d5k8M" TargetMode = "External"/>
	<Relationship Id="rId93" Type="http://schemas.openxmlformats.org/officeDocument/2006/relationships/hyperlink" Target="consultantplus://offline/ref=89ABC332B2537BE3228FAE0CF2DCC56F886BDC0F4AB4D3695B7E66E8C71E9CA2FC381C0F3653C4E83F032E0396EE6D2989DEDB321B7C56A2d5k8M" TargetMode = "External"/>
	<Relationship Id="rId94" Type="http://schemas.openxmlformats.org/officeDocument/2006/relationships/hyperlink" Target="consultantplus://offline/ref=89ABC332B2537BE3228FAE0CF2DCC56F8F63DD0D42B0D3695B7E66E8C71E9CA2FC381C0F3653C1E035032E0396EE6D2989DEDB321B7C56A2d5k8M" TargetMode = "External"/>
	<Relationship Id="rId95" Type="http://schemas.openxmlformats.org/officeDocument/2006/relationships/hyperlink" Target="consultantplus://offline/ref=89ABC332B2537BE3228FAE0CF2DCC56F8F63DD0D42B0D3695B7E66E8C71E9CA2FC381C0F3653C1E13E032E0396EE6D2989DEDB321B7C56A2d5k8M" TargetMode = "External"/>
	<Relationship Id="rId96" Type="http://schemas.openxmlformats.org/officeDocument/2006/relationships/hyperlink" Target="consultantplus://offline/ref=89ABC332B2537BE3228FAE0CF2DCC56F8F63DD0D42B0D3695B7E66E8C71E9CA2FC381C0F3653C1E43B032E0396EE6D2989DEDB321B7C56A2d5k8M" TargetMode = "External"/>
	<Relationship Id="rId97" Type="http://schemas.openxmlformats.org/officeDocument/2006/relationships/hyperlink" Target="consultantplus://offline/ref=89ABC332B2537BE3228FAE0CF2DCC56F8F63DD0D42B0D3695B7E66E8C71E9CA2FC381C0F3653C1E53F032E0396EE6D2989DEDB321B7C56A2d5k8M" TargetMode = "External"/>
	<Relationship Id="rId98" Type="http://schemas.openxmlformats.org/officeDocument/2006/relationships/hyperlink" Target="consultantplus://offline/ref=89ABC332B2537BE3228FAE0CF2DCC56F8F63DD0D42B0D3695B7E66E8C71E9CA2FC381C0F3653C1E73E032E0396EE6D2989DEDB321B7C56A2d5k8M" TargetMode = "External"/>
	<Relationship Id="rId99" Type="http://schemas.openxmlformats.org/officeDocument/2006/relationships/hyperlink" Target="consultantplus://offline/ref=89ABC332B2537BE3228FAE0CF2DCC56F886BDC0F4AB4D3695B7E66E8C71E9CA2FC381C0F3653C5E23F032E0396EE6D2989DEDB321B7C56A2d5k8M" TargetMode = "External"/>
	<Relationship Id="rId100" Type="http://schemas.openxmlformats.org/officeDocument/2006/relationships/hyperlink" Target="consultantplus://offline/ref=89ABC332B2537BE3228FAE0CF2DCC56F8F63DD0D42B0D3695B7E66E8C71E9CA2FC381C0F3653C2E335032E0396EE6D2989DEDB321B7C56A2d5k8M" TargetMode = "External"/>
	<Relationship Id="rId101" Type="http://schemas.openxmlformats.org/officeDocument/2006/relationships/hyperlink" Target="consultantplus://offline/ref=89ABC332B2537BE3228FAE0CF2DCC56F8F63DD0D42B0D3695B7E66E8C71E9CA2FC381C0F3653C2E338032E0396EE6D2989DEDB321B7C56A2d5k8M" TargetMode = "External"/>
	<Relationship Id="rId102" Type="http://schemas.openxmlformats.org/officeDocument/2006/relationships/hyperlink" Target="consultantplus://offline/ref=89ABC332B2537BE3228FAE0CF2DCC56F8F63DD0D42B0D3695B7E66E8C71E9CA2FC381C0F3653C2E33A032E0396EE6D2989DEDB321B7C56A2d5k8M" TargetMode = "External"/>
	<Relationship Id="rId103" Type="http://schemas.openxmlformats.org/officeDocument/2006/relationships/hyperlink" Target="consultantplus://offline/ref=89ABC332B2537BE3228FAE0CF2DCC56F8F63DD0D42B0D3695B7E66E8C71E9CA2FC381C0F3653C2E335032E0396EE6D2989DEDB321B7C56A2d5k8M" TargetMode = "External"/>
	<Relationship Id="rId104" Type="http://schemas.openxmlformats.org/officeDocument/2006/relationships/hyperlink" Target="consultantplus://offline/ref=89ABC332B2537BE3228FAE0CF2DCC56F8F63DD0D42B0D3695B7E66E8C71E9CA2FC381C0F3652C5E83B032E0396EE6D2989DEDB321B7C56A2d5k8M" TargetMode = "External"/>
	<Relationship Id="rId105" Type="http://schemas.openxmlformats.org/officeDocument/2006/relationships/hyperlink" Target="consultantplus://offline/ref=89ABC332B2537BE3228FAE0CF2DCC56F886BDC0F4AB4D3695B7E66E8C71E9CA2FC381C0F3653C5E634032E0396EE6D2989DEDB321B7C56A2d5k8M" TargetMode = "External"/>
	<Relationship Id="rId106" Type="http://schemas.openxmlformats.org/officeDocument/2006/relationships/hyperlink" Target="consultantplus://offline/ref=89ABC332B2537BE3228FAE0CF2DCC56F8F63DD0D42B0D3695B7E66E8C71E9CA2FC381C0F3653CDE83D032E0396EE6D2989DEDB321B7C56A2d5k8M" TargetMode = "External"/>
	<Relationship Id="rId107" Type="http://schemas.openxmlformats.org/officeDocument/2006/relationships/hyperlink" Target="consultantplus://offline/ref=89ABC332B2537BE3228FAE0CF2DCC56F8F63DD0D42B0D3695B7E66E8C71E9CA2FC381C0F3653C6E239032E0396EE6D2989DEDB321B7C56A2d5k8M" TargetMode = "External"/>
	<Relationship Id="rId108" Type="http://schemas.openxmlformats.org/officeDocument/2006/relationships/hyperlink" Target="consultantplus://offline/ref=89ABC332B2537BE3228FAE0CF2DCC56F8F63DD0D42B0D3695B7E66E8C71E9CA2FC381C0F3652C6E535032E0396EE6D2989DEDB321B7C56A2d5k8M" TargetMode = "External"/>
	<Relationship Id="rId109" Type="http://schemas.openxmlformats.org/officeDocument/2006/relationships/hyperlink" Target="consultantplus://offline/ref=89ABC332B2537BE3228FAE0CF2DCC56F886BDC0F4AB4D3695B7E66E8C71E9CA2FC381C0F3653C5E73A032E0396EE6D2989DEDB321B7C56A2d5k8M" TargetMode = "External"/>
	<Relationship Id="rId110" Type="http://schemas.openxmlformats.org/officeDocument/2006/relationships/hyperlink" Target="consultantplus://offline/ref=89ABC332B2537BE3228FAE0CF2DCC56F8F63DD0D42B0D3695B7E66E8C71E9CA2FC381C0F3652C5E43F032E0396EE6D2989DEDB321B7C56A2d5k8M" TargetMode = "External"/>
	<Relationship Id="rId111" Type="http://schemas.openxmlformats.org/officeDocument/2006/relationships/hyperlink" Target="consultantplus://offline/ref=89ABC332B2537BE3228FAE0CF2DCC56F886BDC0F4AB4D3695B7E66E8C71E9CA2FC381C0F3653C5E838032E0396EE6D2989DEDB321B7C56A2d5k8M" TargetMode = "External"/>
	<Relationship Id="rId112" Type="http://schemas.openxmlformats.org/officeDocument/2006/relationships/hyperlink" Target="consultantplus://offline/ref=89ABC332B2537BE3228FAE0CF2DCC56F886BD20F4BB4D3695B7E66E8C71E9CA2FC381C0F3657C0E839032E0396EE6D2989DEDB321B7C56A2d5k8M" TargetMode = "External"/>
	<Relationship Id="rId113" Type="http://schemas.openxmlformats.org/officeDocument/2006/relationships/hyperlink" Target="consultantplus://offline/ref=89ABC332B2537BE3228FAE0CF2DCC56F886BD20F4BB4D3695B7E66E8C71E9CA2FC381C063254CCEB68593E07DFBA613688C7C537057Cd5k4M" TargetMode = "External"/>
	<Relationship Id="rId114" Type="http://schemas.openxmlformats.org/officeDocument/2006/relationships/hyperlink" Target="consultantplus://offline/ref=89ABC332B2537BE3228FAE0CF2DCC56F8D69D50944B3D3695B7E66E8C71E9CA2FC381C0F3653C4E03B032E0396EE6D2989DEDB321B7C56A2d5k8M" TargetMode = "External"/>
	<Relationship Id="rId115" Type="http://schemas.openxmlformats.org/officeDocument/2006/relationships/hyperlink" Target="consultantplus://offline/ref=89ABC332B2537BE3228FAE0CF2DCC56F8F63DC0F42B1D3695B7E66E8C71E9CA2FC381C0F3653C4E134032E0396EE6D2989DEDB321B7C56A2d5k8M" TargetMode = "External"/>
	<Relationship Id="rId116" Type="http://schemas.openxmlformats.org/officeDocument/2006/relationships/hyperlink" Target="consultantplus://offline/ref=89ABC332B2537BE3228FAE0CF2DCC56F8D62D20A45B4D3695B7E66E8C71E9CA2FC381C0F3653C4E13E032E0396EE6D2989DEDB321B7C56A2d5k8M" TargetMode = "External"/>
	<Relationship Id="rId117" Type="http://schemas.openxmlformats.org/officeDocument/2006/relationships/hyperlink" Target="consultantplus://offline/ref=89ABC332B2537BE3228FAE0CF2DCC56F8D62D20A45B4D3695B7E66E8C71E9CA2FC381C0F3653C4E23E032E0396EE6D2989DEDB321B7C56A2d5k8M" TargetMode = "External"/>
	<Relationship Id="rId118" Type="http://schemas.openxmlformats.org/officeDocument/2006/relationships/hyperlink" Target="consultantplus://offline/ref=89ABC332B2537BE3228FAE0CF2DCC56F8869D40C4BB9D3695B7E66E8C71E9CA2FC381C0F3652C2E03D032E0396EE6D2989DEDB321B7C56A2d5k8M" TargetMode = "External"/>
	<Relationship Id="rId119" Type="http://schemas.openxmlformats.org/officeDocument/2006/relationships/hyperlink" Target="consultantplus://offline/ref=89ABC332B2537BE3228FAE0CF2DCC56F8F62D00946B4D3695B7E66E8C71E9CA2FC381C0C365890B1785D7753D3A5602F96C2DB37d0k7M" TargetMode = "External"/>
	<Relationship Id="rId120" Type="http://schemas.openxmlformats.org/officeDocument/2006/relationships/hyperlink" Target="consultantplus://offline/ref=89ABC332B2537BE3228FAE0CF2DCC56F8E63D10B4AB7D3695B7E66E8C71E9CA2FC381C0F3653C4E13D032E0396EE6D2989DEDB321B7C56A2d5k8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4022.00.15</Application>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28.10.2014 N 1110
(ред. от 05.02.2022)
"О лицензировании предпринимательской деятельности по управлению многоквартирными домами"
(вместе с "Положением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"Положением о ведении реестра лиц, осуществлявших функции единоличного испо</dc:title>
  <dcterms:created xsi:type="dcterms:W3CDTF">2022-07-11T12:36:27Z</dcterms:created>
</cp:coreProperties>
</file>